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拟采购设备推介论证文件</w:t>
      </w:r>
    </w:p>
    <w:bookmarkEnd w:id="0"/>
    <w:p>
      <w:pPr>
        <w:rPr>
          <w:rFonts w:ascii="仿宋" w:hAnsi="仿宋" w:eastAsia="仿宋" w:cs="仿宋"/>
          <w:sz w:val="28"/>
          <w:szCs w:val="28"/>
        </w:rPr>
      </w:pPr>
    </w:p>
    <w:p>
      <w:pPr>
        <w:numPr>
          <w:ilvl w:val="0"/>
          <w:numId w:val="1"/>
        </w:num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项目编号：SBXQLZ2021-004</w:t>
      </w:r>
    </w:p>
    <w:p>
      <w:pPr>
        <w:numPr>
          <w:ilvl w:val="0"/>
          <w:numId w:val="1"/>
        </w:num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采购项目内容及基本要求</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 )项目清单</w:t>
      </w:r>
    </w:p>
    <w:tbl>
      <w:tblPr>
        <w:tblStyle w:val="4"/>
        <w:tblW w:w="8946" w:type="dxa"/>
        <w:tblInd w:w="93" w:type="dxa"/>
        <w:tblLayout w:type="autofit"/>
        <w:tblCellMar>
          <w:top w:w="0" w:type="dxa"/>
          <w:left w:w="108" w:type="dxa"/>
          <w:bottom w:w="0" w:type="dxa"/>
          <w:right w:w="108" w:type="dxa"/>
        </w:tblCellMar>
      </w:tblPr>
      <w:tblGrid>
        <w:gridCol w:w="866"/>
        <w:gridCol w:w="3827"/>
        <w:gridCol w:w="1559"/>
        <w:gridCol w:w="2694"/>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8"/>
                <w:szCs w:val="28"/>
              </w:rPr>
            </w:pPr>
            <w:r>
              <w:rPr>
                <w:rFonts w:hint="eastAsia" w:ascii="仿宋" w:hAnsi="仿宋" w:eastAsia="仿宋" w:cs="仿宋"/>
                <w:b/>
                <w:sz w:val="28"/>
                <w:szCs w:val="28"/>
              </w:rPr>
              <w:t>设备详细名称</w:t>
            </w: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26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8"/>
                <w:szCs w:val="28"/>
              </w:rPr>
            </w:pPr>
            <w:r>
              <w:rPr>
                <w:rFonts w:hint="eastAsia" w:ascii="仿宋" w:hAnsi="仿宋" w:eastAsia="仿宋" w:cs="仿宋"/>
                <w:b/>
                <w:sz w:val="28"/>
                <w:szCs w:val="28"/>
              </w:rPr>
              <w:t>功能介绍</w:t>
            </w:r>
          </w:p>
        </w:tc>
      </w:tr>
      <w:tr>
        <w:tblPrEx>
          <w:tblCellMar>
            <w:top w:w="0" w:type="dxa"/>
            <w:left w:w="108" w:type="dxa"/>
            <w:bottom w:w="0" w:type="dxa"/>
            <w:right w:w="108" w:type="dxa"/>
          </w:tblCellMar>
        </w:tblPrEx>
        <w:trPr>
          <w:trHeight w:val="669" w:hRule="atLeast"/>
        </w:trPr>
        <w:tc>
          <w:tcPr>
            <w:tcW w:w="866"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YAG激光治疗机（调Q）</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1台</w:t>
            </w:r>
          </w:p>
        </w:tc>
        <w:tc>
          <w:tcPr>
            <w:tcW w:w="2694" w:type="dxa"/>
            <w:vMerge w:val="restart"/>
            <w:tcBorders>
              <w:top w:val="single" w:color="000000" w:sz="4" w:space="0"/>
              <w:left w:val="single" w:color="000000" w:sz="4" w:space="0"/>
              <w:right w:val="single" w:color="000000" w:sz="4" w:space="0"/>
            </w:tcBorders>
            <w:vAlign w:val="center"/>
          </w:tcPr>
          <w:p>
            <w:pPr>
              <w:rPr>
                <w:rFonts w:ascii="宋体" w:hAnsi="宋体" w:cs="Tahoma"/>
                <w:sz w:val="20"/>
              </w:rPr>
            </w:pPr>
            <w:r>
              <w:rPr>
                <w:rFonts w:hint="eastAsia" w:cs="Tahoma"/>
                <w:sz w:val="20"/>
              </w:rPr>
              <w:t>可治疗真皮层、表皮层的色素斑，刺激胶原组织增生，回复皮肤弹性。同时可进行脱毛及色素治疗。</w:t>
            </w:r>
            <w:r>
              <w:rPr>
                <w:rFonts w:hint="eastAsia" w:ascii="宋体" w:hAnsi="宋体" w:cs="Tahoma"/>
                <w:sz w:val="20"/>
              </w:rPr>
              <w:t>也</w:t>
            </w:r>
            <w:r>
              <w:rPr>
                <w:rFonts w:hint="eastAsia" w:cs="Tahoma"/>
                <w:sz w:val="20"/>
              </w:rPr>
              <w:t>用行单纯皮肤病治疗以外的医疗美容，如痤疮、疤痕的治疗，眼睑、鱼尾纹的去除，面部及额部皱纹、妊娠纹等设备</w:t>
            </w:r>
          </w:p>
        </w:tc>
      </w:tr>
      <w:tr>
        <w:tblPrEx>
          <w:tblCellMar>
            <w:top w:w="0" w:type="dxa"/>
            <w:left w:w="108" w:type="dxa"/>
            <w:bottom w:w="0" w:type="dxa"/>
            <w:right w:w="108" w:type="dxa"/>
          </w:tblCellMar>
        </w:tblPrEx>
        <w:trPr>
          <w:trHeight w:val="564" w:hRule="atLeast"/>
        </w:trPr>
        <w:tc>
          <w:tcPr>
            <w:tcW w:w="866" w:type="dxa"/>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光子嫩肤治疗仪</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1台</w:t>
            </w:r>
          </w:p>
        </w:tc>
        <w:tc>
          <w:tcPr>
            <w:tcW w:w="2694" w:type="dxa"/>
            <w:vMerge w:val="continue"/>
            <w:tcBorders>
              <w:left w:val="single" w:color="000000" w:sz="4" w:space="0"/>
              <w:right w:val="single" w:color="000000" w:sz="4" w:space="0"/>
            </w:tcBorders>
            <w:vAlign w:val="center"/>
          </w:tcPr>
          <w:p>
            <w:pPr>
              <w:spacing w:line="440" w:lineRule="exact"/>
              <w:jc w:val="left"/>
              <w:rPr>
                <w:rFonts w:ascii="仿宋" w:hAnsi="仿宋" w:eastAsia="仿宋" w:cs="仿宋"/>
                <w:sz w:val="28"/>
                <w:szCs w:val="28"/>
              </w:rPr>
            </w:pPr>
          </w:p>
        </w:tc>
      </w:tr>
      <w:tr>
        <w:tblPrEx>
          <w:tblCellMar>
            <w:top w:w="0" w:type="dxa"/>
            <w:left w:w="108" w:type="dxa"/>
            <w:bottom w:w="0" w:type="dxa"/>
            <w:right w:w="108" w:type="dxa"/>
          </w:tblCellMar>
        </w:tblPrEx>
        <w:trPr>
          <w:trHeight w:val="686" w:hRule="atLeast"/>
        </w:trPr>
        <w:tc>
          <w:tcPr>
            <w:tcW w:w="866" w:type="dxa"/>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短波理疗仪</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1台</w:t>
            </w:r>
          </w:p>
        </w:tc>
        <w:tc>
          <w:tcPr>
            <w:tcW w:w="2694" w:type="dxa"/>
            <w:vMerge w:val="continue"/>
            <w:tcBorders>
              <w:left w:val="single" w:color="000000" w:sz="4" w:space="0"/>
              <w:right w:val="single" w:color="000000" w:sz="4" w:space="0"/>
            </w:tcBorders>
            <w:vAlign w:val="center"/>
          </w:tcPr>
          <w:p>
            <w:pPr>
              <w:spacing w:line="440" w:lineRule="exact"/>
              <w:jc w:val="center"/>
              <w:rPr>
                <w:rFonts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tcBorders>
              <w:top w:val="single" w:color="auto" w:sz="4" w:space="0"/>
              <w:left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超脉冲二氧化碳点阵激光</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1台</w:t>
            </w:r>
          </w:p>
        </w:tc>
        <w:tc>
          <w:tcPr>
            <w:tcW w:w="2694" w:type="dxa"/>
            <w:vMerge w:val="continue"/>
            <w:tcBorders>
              <w:left w:val="single" w:color="000000" w:sz="4" w:space="0"/>
              <w:right w:val="single" w:color="000000" w:sz="4" w:space="0"/>
            </w:tcBorders>
            <w:vAlign w:val="center"/>
          </w:tcPr>
          <w:p>
            <w:pPr>
              <w:spacing w:line="440" w:lineRule="exact"/>
              <w:jc w:val="left"/>
              <w:rPr>
                <w:rFonts w:ascii="仿宋" w:hAnsi="仿宋" w:eastAsia="仿宋" w:cs="仿宋"/>
                <w:sz w:val="28"/>
                <w:szCs w:val="28"/>
              </w:rPr>
            </w:pPr>
          </w:p>
        </w:tc>
      </w:tr>
      <w:tr>
        <w:tblPrEx>
          <w:tblCellMar>
            <w:top w:w="0" w:type="dxa"/>
            <w:left w:w="108" w:type="dxa"/>
            <w:bottom w:w="0" w:type="dxa"/>
            <w:right w:w="108" w:type="dxa"/>
          </w:tblCellMar>
        </w:tblPrEx>
        <w:trPr>
          <w:trHeight w:val="752" w:hRule="atLeast"/>
        </w:trPr>
        <w:tc>
          <w:tcPr>
            <w:tcW w:w="866" w:type="dxa"/>
            <w:tcBorders>
              <w:top w:val="single" w:color="000000" w:sz="4" w:space="0"/>
              <w:left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3827" w:type="dxa"/>
            <w:tcBorders>
              <w:top w:val="single" w:color="000000" w:sz="4" w:space="0"/>
              <w:left w:val="single" w:color="000000" w:sz="4" w:space="0"/>
              <w:right w:val="single" w:color="000000" w:sz="4" w:space="0"/>
            </w:tcBorders>
            <w:vAlign w:val="center"/>
          </w:tcPr>
          <w:p>
            <w:pPr>
              <w:jc w:val="center"/>
              <w:rPr>
                <w:rFonts w:ascii="宋体" w:hAnsi="宋体" w:cs="Tahoma"/>
                <w:sz w:val="20"/>
              </w:rPr>
            </w:pPr>
            <w:r>
              <w:rPr>
                <w:rFonts w:hint="eastAsia" w:cs="Tahoma"/>
                <w:sz w:val="20"/>
              </w:rPr>
              <w:t>全自动电泳仪</w:t>
            </w:r>
          </w:p>
        </w:tc>
        <w:tc>
          <w:tcPr>
            <w:tcW w:w="1559" w:type="dxa"/>
            <w:tcBorders>
              <w:top w:val="single" w:color="000000" w:sz="4" w:space="0"/>
              <w:left w:val="single" w:color="000000" w:sz="4" w:space="0"/>
              <w:right w:val="single" w:color="000000" w:sz="4" w:space="0"/>
            </w:tcBorders>
            <w:vAlign w:val="center"/>
          </w:tcPr>
          <w:p>
            <w:pPr>
              <w:jc w:val="center"/>
              <w:rPr>
                <w:rFonts w:ascii="宋体" w:hAnsi="宋体" w:cs="Tahoma"/>
                <w:sz w:val="20"/>
              </w:rPr>
            </w:pPr>
            <w:r>
              <w:rPr>
                <w:rFonts w:hint="eastAsia" w:cs="Tahoma"/>
                <w:sz w:val="20"/>
              </w:rPr>
              <w:t>1台</w:t>
            </w:r>
          </w:p>
        </w:tc>
        <w:tc>
          <w:tcPr>
            <w:tcW w:w="2694" w:type="dxa"/>
            <w:tcBorders>
              <w:top w:val="single" w:color="000000" w:sz="4" w:space="0"/>
              <w:left w:val="single" w:color="000000" w:sz="4" w:space="0"/>
              <w:right w:val="single" w:color="000000" w:sz="4" w:space="0"/>
            </w:tcBorders>
            <w:vAlign w:val="center"/>
          </w:tcPr>
          <w:p>
            <w:pPr>
              <w:jc w:val="left"/>
              <w:rPr>
                <w:rFonts w:ascii="宋体" w:hAnsi="宋体" w:cs="Tahoma"/>
                <w:sz w:val="20"/>
              </w:rPr>
            </w:pPr>
            <w:r>
              <w:rPr>
                <w:rFonts w:hint="eastAsia" w:cs="Tahoma"/>
                <w:sz w:val="20"/>
              </w:rPr>
              <w:t>用于蛋白质分离、鉴定、定量和同功酶及亚型检测</w:t>
            </w:r>
            <w:r>
              <w:rPr>
                <w:rFonts w:hint="eastAsia" w:ascii="宋体" w:hAnsi="宋体" w:cs="Tahoma"/>
                <w:sz w:val="20"/>
              </w:rPr>
              <w:t>。</w:t>
            </w:r>
          </w:p>
        </w:tc>
      </w:tr>
      <w:tr>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生物组织脱水机</w:t>
            </w:r>
          </w:p>
        </w:tc>
        <w:tc>
          <w:tcPr>
            <w:tcW w:w="1559" w:type="dxa"/>
            <w:tcBorders>
              <w:top w:val="single" w:color="000000" w:sz="4" w:space="0"/>
              <w:left w:val="single" w:color="000000" w:sz="4" w:space="0"/>
              <w:bottom w:val="single" w:color="000000" w:sz="4" w:space="0"/>
              <w:right w:val="single" w:color="000000" w:sz="4" w:space="0"/>
            </w:tcBorders>
          </w:tcPr>
          <w:p>
            <w:pPr>
              <w:jc w:val="center"/>
              <w:rPr>
                <w:rFonts w:cs="Tahoma"/>
                <w:sz w:val="20"/>
              </w:rPr>
            </w:pPr>
            <w:r>
              <w:rPr>
                <w:rFonts w:hint="eastAsia" w:cs="Tahoma"/>
                <w:sz w:val="20"/>
              </w:rPr>
              <w:t>1台</w:t>
            </w:r>
          </w:p>
        </w:tc>
        <w:tc>
          <w:tcPr>
            <w:tcW w:w="26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Tahoma"/>
                <w:sz w:val="20"/>
              </w:rPr>
            </w:pPr>
            <w:r>
              <w:rPr>
                <w:rFonts w:hint="eastAsia" w:cs="Tahoma"/>
                <w:sz w:val="20"/>
              </w:rPr>
              <w:t>病理科使用组织脱水设备</w:t>
            </w:r>
          </w:p>
        </w:tc>
      </w:tr>
      <w:tr>
        <w:tblPrEx>
          <w:tblCellMar>
            <w:top w:w="0" w:type="dxa"/>
            <w:left w:w="108" w:type="dxa"/>
            <w:bottom w:w="0" w:type="dxa"/>
            <w:right w:w="108" w:type="dxa"/>
          </w:tblCellMar>
        </w:tblPrEx>
        <w:trPr>
          <w:trHeight w:val="501"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38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Tahoma"/>
                <w:sz w:val="20"/>
              </w:rPr>
            </w:pPr>
            <w:r>
              <w:rPr>
                <w:rFonts w:hint="eastAsia" w:cs="Tahoma"/>
                <w:sz w:val="20"/>
              </w:rPr>
              <w:t>经颅磁刺激治疗仪</w:t>
            </w:r>
          </w:p>
        </w:tc>
        <w:tc>
          <w:tcPr>
            <w:tcW w:w="1559" w:type="dxa"/>
            <w:tcBorders>
              <w:top w:val="single" w:color="000000" w:sz="4" w:space="0"/>
              <w:left w:val="single" w:color="000000" w:sz="4" w:space="0"/>
              <w:bottom w:val="single" w:color="000000" w:sz="4" w:space="0"/>
              <w:right w:val="single" w:color="000000" w:sz="4" w:space="0"/>
            </w:tcBorders>
          </w:tcPr>
          <w:p>
            <w:pPr>
              <w:jc w:val="center"/>
              <w:rPr>
                <w:rFonts w:cs="Tahoma"/>
                <w:sz w:val="20"/>
              </w:rPr>
            </w:pPr>
            <w:r>
              <w:rPr>
                <w:rFonts w:hint="eastAsia" w:cs="Tahoma"/>
                <w:sz w:val="20"/>
              </w:rPr>
              <w:t>1台</w:t>
            </w:r>
          </w:p>
        </w:tc>
        <w:tc>
          <w:tcPr>
            <w:tcW w:w="26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Tahoma"/>
                <w:sz w:val="20"/>
              </w:rPr>
            </w:pPr>
            <w:r>
              <w:rPr>
                <w:rFonts w:hint="eastAsia" w:cs="Tahoma"/>
                <w:sz w:val="20"/>
              </w:rPr>
              <w:t>用于神经内科改善微循环、促进神经细胞再生等</w:t>
            </w:r>
            <w:r>
              <w:rPr>
                <w:rFonts w:hint="eastAsia" w:ascii="宋体" w:hAnsi="宋体" w:cs="Tahoma"/>
                <w:sz w:val="20"/>
              </w:rPr>
              <w:t>设备。</w:t>
            </w:r>
          </w:p>
        </w:tc>
      </w:tr>
    </w:tbl>
    <w:p>
      <w:pPr>
        <w:spacing w:line="560" w:lineRule="exact"/>
        <w:ind w:firstLine="422" w:firstLineChars="200"/>
        <w:rPr>
          <w:rFonts w:ascii="仿宋" w:hAnsi="仿宋" w:eastAsia="仿宋" w:cs="仿宋"/>
          <w:b/>
          <w:bCs/>
          <w:szCs w:val="21"/>
        </w:rPr>
      </w:pPr>
      <w:r>
        <w:rPr>
          <w:rStyle w:val="6"/>
          <w:rFonts w:ascii="仿宋_GB2312" w:hAnsi="微软雅黑" w:eastAsia="仿宋_GB2312" w:cs="仿宋_GB2312"/>
          <w:szCs w:val="21"/>
          <w:shd w:val="clear" w:color="auto" w:fill="FFFFFF"/>
        </w:rPr>
        <w:t>注：各推介供应商对以上项目内容进行单项推介。</w:t>
      </w:r>
    </w:p>
    <w:p>
      <w:pPr>
        <w:spacing w:line="560" w:lineRule="exact"/>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）其他需求：</w:t>
      </w:r>
      <w:r>
        <w:rPr>
          <w:rFonts w:hint="eastAsia" w:ascii="仿宋" w:hAnsi="仿宋" w:eastAsia="仿宋" w:cs="仿宋"/>
          <w:sz w:val="28"/>
          <w:szCs w:val="28"/>
        </w:rPr>
        <w:t>有场地安装要求的</w:t>
      </w:r>
      <w:r>
        <w:rPr>
          <w:rFonts w:ascii="仿宋" w:hAnsi="仿宋" w:eastAsia="仿宋" w:cs="仿宋"/>
          <w:sz w:val="28"/>
          <w:szCs w:val="28"/>
        </w:rPr>
        <w:t>应就所推介产品根据我院拟安装的场地进行踏勘，结合拟安装场地作出合理的安装设计方案。</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三、对推介供应商资格要求</w:t>
      </w:r>
    </w:p>
    <w:p>
      <w:pPr>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根据采购项目的特殊要求，参加推介会的供应商的特定条件</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1、推介</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2、推介</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证明文件须能显示产品制造厂家对产品授权链条的完整性</w:t>
      </w:r>
      <w:r>
        <w:rPr>
          <w:rFonts w:hint="eastAsia" w:ascii="仿宋" w:hAnsi="仿宋" w:eastAsia="仿宋" w:cs="仿宋"/>
          <w:sz w:val="28"/>
          <w:szCs w:val="28"/>
          <w:lang w:val="zh-CN"/>
        </w:rPr>
        <w:t>；</w:t>
      </w:r>
    </w:p>
    <w:p>
      <w:pPr>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3、参加推介人员的法人授权委托书原件，法定的代表人及推介人身份证复印件。</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四、纸质文件要求（所有资料需加盖公司鲜章）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1、封面、目录（请在封面上标注产品名称、参与推介会供应商名称、联系人及联系电话，请按以下内容排序，编写页码，装订成册纸质文件一式五份，单独密封，需在密封袋骑缝密封处加盖递交单位公章）。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4、选配件市场价及优惠价，列出详细清单。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5、市场同档次产品对比表。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6、售后服务承诺书（质保期限、维修站地点及联系方式、能否提供操作及维修手册、操作及维修人员培训方式、质保期外维修方式及收费情况、常用维修配件及核心部件清单及价格。</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7、证照复印件：医疗器械注册证、医疗器械生产许可证或医疗器械经营许可证、有效营业执照。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8、参加推介会的人员须提供法定代表人身份证（正反面的复印件），参加推介会代表人身份证（正反面的复印件），法定代表人授权书原件(投标代表是法定代表人无需)。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9、如果需要授权才能销售的产品，需提供厂家授权书、代理级别，多级授权的需保证授权的连续性及合法性。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10、产品彩页（除装订成册的外，另提供5-7份）。</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11、推介人根据所推介的产品技术参数、功能特点、配置清单按照推介产品信息表（见附件）的要求进行报价。报价为不同品牌或不同型号的意向成交价。</w:t>
      </w:r>
    </w:p>
    <w:p>
      <w:pPr>
        <w:ind w:firstLine="562" w:firstLineChars="200"/>
        <w:rPr>
          <w:rFonts w:ascii="仿宋" w:hAnsi="仿宋" w:eastAsia="仿宋" w:cs="仿宋"/>
          <w:sz w:val="28"/>
          <w:szCs w:val="28"/>
        </w:rPr>
      </w:pPr>
      <w:r>
        <w:rPr>
          <w:rFonts w:hint="eastAsia" w:ascii="仿宋" w:hAnsi="仿宋" w:eastAsia="仿宋" w:cs="仿宋"/>
          <w:b/>
          <w:bCs/>
          <w:sz w:val="28"/>
          <w:szCs w:val="28"/>
        </w:rPr>
        <w:t>五、电子文档：</w:t>
      </w:r>
      <w:r>
        <w:rPr>
          <w:rFonts w:hint="eastAsia" w:ascii="仿宋" w:hAnsi="仿宋" w:eastAsia="仿宋" w:cs="仿宋"/>
          <w:sz w:val="28"/>
          <w:szCs w:val="28"/>
        </w:rPr>
        <w:t>各参加推介会供应商制作PPT按下列顺序进行：</w:t>
      </w:r>
    </w:p>
    <w:p>
      <w:pPr>
        <w:ind w:firstLine="562" w:firstLineChars="200"/>
        <w:rPr>
          <w:rFonts w:ascii="仿宋" w:hAnsi="仿宋" w:eastAsia="仿宋" w:cs="仿宋"/>
          <w:b/>
          <w:sz w:val="28"/>
          <w:szCs w:val="28"/>
        </w:rPr>
      </w:pPr>
      <w:r>
        <w:rPr>
          <w:rFonts w:hint="eastAsia" w:ascii="仿宋" w:hAnsi="仿宋" w:eastAsia="仿宋" w:cs="仿宋"/>
          <w:b/>
          <w:sz w:val="28"/>
          <w:szCs w:val="28"/>
        </w:rPr>
        <w:t>1、产品功能介绍</w:t>
      </w:r>
    </w:p>
    <w:p>
      <w:pPr>
        <w:ind w:firstLine="562" w:firstLineChars="200"/>
        <w:rPr>
          <w:rFonts w:ascii="仿宋" w:hAnsi="仿宋" w:eastAsia="仿宋" w:cs="仿宋"/>
          <w:b/>
          <w:sz w:val="28"/>
          <w:szCs w:val="28"/>
        </w:rPr>
      </w:pPr>
      <w:r>
        <w:rPr>
          <w:rFonts w:hint="eastAsia" w:ascii="仿宋" w:hAnsi="仿宋" w:eastAsia="仿宋" w:cs="仿宋"/>
          <w:b/>
          <w:sz w:val="28"/>
          <w:szCs w:val="28"/>
        </w:rPr>
        <w:t>2、产品报价和配置清单</w:t>
      </w:r>
    </w:p>
    <w:p>
      <w:pPr>
        <w:ind w:firstLine="562" w:firstLineChars="200"/>
        <w:rPr>
          <w:rFonts w:ascii="仿宋" w:hAnsi="仿宋" w:eastAsia="仿宋" w:cs="仿宋"/>
          <w:b/>
          <w:sz w:val="28"/>
          <w:szCs w:val="28"/>
        </w:rPr>
      </w:pPr>
      <w:r>
        <w:rPr>
          <w:rFonts w:hint="eastAsia" w:ascii="仿宋" w:hAnsi="仿宋" w:eastAsia="仿宋" w:cs="仿宋"/>
          <w:b/>
          <w:sz w:val="28"/>
          <w:szCs w:val="28"/>
        </w:rPr>
        <w:t>3、售后服务方案及质保期后维保价格</w:t>
      </w:r>
    </w:p>
    <w:p>
      <w:pPr>
        <w:ind w:firstLine="562" w:firstLineChars="200"/>
        <w:rPr>
          <w:rFonts w:ascii="仿宋" w:hAnsi="仿宋" w:eastAsia="仿宋" w:cs="仿宋"/>
          <w:b/>
          <w:sz w:val="28"/>
          <w:szCs w:val="28"/>
        </w:rPr>
      </w:pPr>
      <w:r>
        <w:rPr>
          <w:rFonts w:hint="eastAsia" w:ascii="仿宋" w:hAnsi="仿宋" w:eastAsia="仿宋" w:cs="仿宋"/>
          <w:b/>
          <w:sz w:val="28"/>
          <w:szCs w:val="28"/>
        </w:rPr>
        <w:t>4、设备配套耗材价格及易损件名称和价格</w:t>
      </w:r>
    </w:p>
    <w:p>
      <w:pPr>
        <w:ind w:firstLine="562" w:firstLineChars="200"/>
        <w:rPr>
          <w:rFonts w:ascii="仿宋" w:hAnsi="仿宋" w:eastAsia="仿宋" w:cs="仿宋"/>
          <w:b/>
          <w:sz w:val="28"/>
          <w:szCs w:val="28"/>
        </w:rPr>
      </w:pPr>
      <w:r>
        <w:rPr>
          <w:rFonts w:hint="eastAsia" w:ascii="仿宋" w:hAnsi="仿宋" w:eastAsia="仿宋" w:cs="仿宋"/>
          <w:b/>
          <w:sz w:val="28"/>
          <w:szCs w:val="28"/>
        </w:rPr>
        <w:t>5、市场同类同档次产品的比较表</w:t>
      </w:r>
    </w:p>
    <w:p>
      <w:pPr>
        <w:ind w:firstLine="562" w:firstLineChars="200"/>
        <w:rPr>
          <w:rFonts w:ascii="仿宋" w:hAnsi="仿宋" w:eastAsia="仿宋" w:cs="仿宋"/>
          <w:b/>
          <w:sz w:val="28"/>
          <w:szCs w:val="28"/>
        </w:rPr>
      </w:pPr>
      <w:r>
        <w:rPr>
          <w:rFonts w:hint="eastAsia" w:ascii="仿宋" w:hAnsi="仿宋" w:eastAsia="仿宋" w:cs="仿宋"/>
          <w:b/>
          <w:sz w:val="28"/>
          <w:szCs w:val="28"/>
        </w:rPr>
        <w:t>6、产品技术参数</w:t>
      </w:r>
    </w:p>
    <w:p>
      <w:pPr>
        <w:ind w:firstLine="560" w:firstLineChars="200"/>
        <w:rPr>
          <w:rFonts w:ascii="仿宋" w:hAnsi="仿宋" w:eastAsia="仿宋" w:cs="仿宋"/>
          <w:sz w:val="28"/>
          <w:szCs w:val="28"/>
        </w:rPr>
      </w:pPr>
      <w:r>
        <w:rPr>
          <w:rFonts w:hint="eastAsia" w:ascii="仿宋" w:hAnsi="仿宋" w:eastAsia="仿宋" w:cs="仿宋"/>
          <w:sz w:val="28"/>
          <w:szCs w:val="28"/>
        </w:rPr>
        <w:t>需根据要求的相关内容，制作PPT文件，在推介会现场讲解，</w:t>
      </w:r>
      <w:r>
        <w:rPr>
          <w:rFonts w:ascii="仿宋" w:hAnsi="仿宋" w:eastAsia="仿宋" w:cs="仿宋"/>
          <w:sz w:val="28"/>
          <w:szCs w:val="28"/>
        </w:rPr>
        <w:t>同时将PPT文件、推介产品的电子版技术参数单独用U盘存储，在推介会现场交医院留存。</w:t>
      </w:r>
    </w:p>
    <w:p>
      <w:pPr>
        <w:spacing w:line="560" w:lineRule="exact"/>
        <w:ind w:firstLine="281" w:firstLineChars="100"/>
        <w:rPr>
          <w:rFonts w:ascii="仿宋" w:hAnsi="仿宋" w:eastAsia="仿宋" w:cs="仿宋"/>
          <w:b/>
          <w:bCs/>
          <w:sz w:val="28"/>
          <w:szCs w:val="28"/>
        </w:rPr>
      </w:pPr>
      <w:r>
        <w:rPr>
          <w:rFonts w:hint="eastAsia" w:ascii="仿宋" w:hAnsi="仿宋" w:eastAsia="仿宋" w:cs="仿宋"/>
          <w:b/>
          <w:bCs/>
          <w:sz w:val="28"/>
          <w:szCs w:val="28"/>
        </w:rPr>
        <w:t xml:space="preserve"> 六、推介方式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医院从完全符合推介要求的报名推介商家中，每一序号择优选择五家（不足五家的按实际报名家数为准）参加推介会，同一品牌型号的以最低报价入选。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推介程序：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1、院方介绍设备需求及相关事项。</w:t>
      </w:r>
      <w:r>
        <w:rPr>
          <w:rFonts w:hint="eastAsia" w:ascii="仿宋" w:hAnsi="仿宋" w:eastAsia="仿宋" w:cs="仿宋"/>
          <w:sz w:val="28"/>
          <w:szCs w:val="28"/>
        </w:rPr>
        <w:br w:type="textWrapping"/>
      </w:r>
      <w:r>
        <w:rPr>
          <w:rFonts w:hint="eastAsia" w:ascii="仿宋" w:hAnsi="仿宋" w:eastAsia="仿宋" w:cs="仿宋"/>
          <w:sz w:val="28"/>
          <w:szCs w:val="28"/>
        </w:rPr>
        <w:t xml:space="preserve">    2、参加推介商家按照要求介绍生产企业及所推荐产品的相关信息，现场推介时间控制在10分钟内。</w:t>
      </w:r>
      <w:r>
        <w:rPr>
          <w:rFonts w:hint="eastAsia" w:ascii="仿宋" w:hAnsi="仿宋" w:eastAsia="仿宋" w:cs="仿宋"/>
          <w:sz w:val="28"/>
          <w:szCs w:val="28"/>
        </w:rPr>
        <w:br w:type="textWrapping"/>
      </w:r>
      <w:r>
        <w:rPr>
          <w:rFonts w:hint="eastAsia" w:ascii="仿宋" w:hAnsi="仿宋" w:eastAsia="仿宋" w:cs="仿宋"/>
          <w:sz w:val="28"/>
          <w:szCs w:val="28"/>
        </w:rPr>
        <w:t xml:space="preserve">    3、接受院方专家组的答疑咨询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4、需求论证专家制定采购需求。</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注：本次产品推介会仅用于医院对产品的性能、配置、价格、以及售后服务等进行综合了解，供采购人制定需求及预算提供参考。</w:t>
      </w: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七、推介资料递交截止时间及推介会开始时间、地点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2、报名、递交材料截止时间及地点：</w:t>
      </w:r>
      <w:r>
        <w:rPr>
          <w:rFonts w:hint="eastAsia" w:ascii="仿宋" w:hAnsi="仿宋" w:eastAsia="仿宋" w:cs="仿宋"/>
          <w:b/>
          <w:sz w:val="28"/>
          <w:szCs w:val="28"/>
        </w:rPr>
        <w:t xml:space="preserve"> 2021年7月19日17：30</w:t>
      </w:r>
      <w:r>
        <w:rPr>
          <w:rFonts w:hint="eastAsia" w:ascii="仿宋" w:hAnsi="仿宋" w:eastAsia="仿宋" w:cs="仿宋"/>
          <w:sz w:val="28"/>
          <w:szCs w:val="28"/>
        </w:rPr>
        <w:t>（北京时间、工作时间）前通过邮寄或现场提交的方式将报名及相关资料递交到广元市第一人民医院设备管理科，邮寄地址：四川省广元市利州区苴国路中段（广元市第一人民医院）设备管理科，收件人：李老师，联系电话：0839-3306193，逾期递交的不予受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3、推介会时间及地点：医院另行通知符合资质要求的报名供应商参加。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4、联系人及方式：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联系人:设备管理科  李老师      联系电话:0839-3306193</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院纪委      张先生      联系电话:0839-3314132</w:t>
      </w:r>
    </w:p>
    <w:p>
      <w:pPr>
        <w:spacing w:line="560" w:lineRule="exact"/>
        <w:ind w:left="3780" w:firstLine="420"/>
        <w:rPr>
          <w:rFonts w:ascii="仿宋_GB2312" w:eastAsia="仿宋_GB2312"/>
          <w:b/>
          <w:color w:val="000000"/>
          <w:sz w:val="29"/>
          <w:szCs w:val="29"/>
          <w:u w:val="single"/>
          <w:shd w:val="clear" w:color="auto" w:fill="FFFFFF"/>
        </w:rPr>
      </w:pPr>
    </w:p>
    <w:p>
      <w:pPr>
        <w:spacing w:line="560" w:lineRule="exact"/>
        <w:ind w:left="3780" w:firstLine="420"/>
        <w:rPr>
          <w:rFonts w:ascii="仿宋_GB2312" w:eastAsia="仿宋_GB2312"/>
          <w:b/>
          <w:color w:val="000000"/>
          <w:sz w:val="29"/>
          <w:szCs w:val="29"/>
          <w:u w:val="single"/>
          <w:shd w:val="clear" w:color="auto" w:fill="FFFFFF"/>
        </w:rPr>
      </w:pPr>
    </w:p>
    <w:p>
      <w:pPr>
        <w:spacing w:line="560" w:lineRule="exact"/>
        <w:rPr>
          <w:rFonts w:ascii="仿宋_GB2312" w:eastAsia="仿宋_GB2312"/>
          <w:b/>
          <w:color w:val="000000"/>
          <w:sz w:val="29"/>
          <w:szCs w:val="29"/>
          <w:u w:val="single"/>
          <w:shd w:val="clear" w:color="auto" w:fill="FFFFFF"/>
        </w:rPr>
      </w:pPr>
    </w:p>
    <w:p>
      <w:pPr>
        <w:spacing w:line="560" w:lineRule="exact"/>
        <w:ind w:left="3780" w:firstLine="420"/>
        <w:rPr>
          <w:rFonts w:ascii="仿宋" w:hAnsi="仿宋" w:eastAsia="仿宋" w:cs="仿宋"/>
          <w:sz w:val="28"/>
          <w:szCs w:val="28"/>
        </w:rPr>
      </w:pPr>
      <w:r>
        <w:rPr>
          <w:rFonts w:hint="eastAsia" w:ascii="仿宋" w:hAnsi="仿宋" w:eastAsia="仿宋" w:cs="仿宋"/>
          <w:sz w:val="28"/>
          <w:szCs w:val="28"/>
        </w:rPr>
        <w:t>广元市第一人民医院</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2021年6月 30日</w:t>
      </w:r>
    </w:p>
    <w:p>
      <w:pPr>
        <w:spacing w:line="520" w:lineRule="exact"/>
        <w:rPr>
          <w:rFonts w:ascii="仿宋" w:hAnsi="仿宋" w:eastAsia="仿宋" w:cs="仿宋"/>
          <w:sz w:val="28"/>
          <w:szCs w:val="28"/>
        </w:rPr>
        <w:sectPr>
          <w:headerReference r:id="rId3" w:type="default"/>
          <w:footerReference r:id="rId4"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p>
      <w:pPr>
        <w:widowControl/>
        <w:spacing w:line="5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推介产品信息表</w:t>
      </w:r>
    </w:p>
    <w:p>
      <w:pPr>
        <w:widowControl/>
        <w:spacing w:line="560" w:lineRule="exact"/>
        <w:jc w:val="left"/>
        <w:rPr>
          <w:rFonts w:ascii="仿宋_GB2312" w:hAnsi="宋体" w:eastAsia="仿宋_GB2312" w:cs="宋体"/>
          <w:kern w:val="0"/>
          <w:sz w:val="32"/>
          <w:szCs w:val="32"/>
        </w:rPr>
      </w:pPr>
    </w:p>
    <w:tbl>
      <w:tblPr>
        <w:tblStyle w:val="4"/>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r>
              <w:rPr>
                <w:rFonts w:hint="eastAsia" w:ascii="宋体"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192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145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11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c>
          <w:tcPr>
            <w:tcW w:w="74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仿宋_GB2312" w:cs="宋体"/>
                <w:kern w:val="0"/>
                <w:sz w:val="24"/>
                <w:szCs w:val="24"/>
              </w:rPr>
            </w:pPr>
          </w:p>
        </w:tc>
      </w:tr>
    </w:tbl>
    <w:p>
      <w:pPr>
        <w:widowControl/>
        <w:ind w:left="2814" w:leftChars="136" w:hanging="2528" w:hangingChars="79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p>
      <w:r>
        <w:rPr>
          <w:rFonts w:hint="eastAsia" w:ascii="仿宋_GB2312" w:hAnsi="宋体" w:eastAsia="仿宋_GB2312" w:cs="宋体"/>
          <w:kern w:val="0"/>
          <w:sz w:val="32"/>
          <w:szCs w:val="32"/>
        </w:rPr>
        <w:t xml:space="preserve">                             </w:t>
      </w:r>
    </w:p>
    <w:p/>
    <w:p/>
    <w:sectPr>
      <w:headerReference r:id="rId5" w:type="default"/>
      <w:footerReference r:id="rId6"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path/>
              <v:fill on="f" focussize="0,0"/>
              <v:stroke on="f" weight="1.2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path/>
              <v:fill on="f" focussize="0,0"/>
              <v:stroke on="f" weight="1.2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95AAB"/>
    <w:rsid w:val="72C9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2021-07-13T03:44:00Z</dcterms:created>
  <dc:creator>美若黎明</dc:creator>
  <cp:lastModifiedBy>美若黎明</cp:lastModifiedBy>
  <dcterms:modified xsi:type="dcterms:W3CDTF">2021-07-13T03:44:59Z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944AB9DCE9CD4199B7621568CB240037</vt:lpwstr>
  </property>
</Properties>
</file>