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附件6：</w:t>
      </w:r>
    </w:p>
    <w:p>
      <w:pPr>
        <w:widowControl/>
        <w:spacing w:line="576" w:lineRule="exact"/>
        <w:ind w:firstLine="643" w:firstLineChars="200"/>
        <w:jc w:val="center"/>
        <w:rPr>
          <w:rFonts w:hint="eastAsia" w:ascii="黑体" w:hAnsi="黑体" w:eastAsia="黑体" w:cs="黑体"/>
          <w:b/>
          <w:color w:val="auto"/>
          <w:kern w:val="0"/>
          <w:sz w:val="32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0"/>
          <w:lang w:val="en-US" w:eastAsia="zh-CN" w:bidi="ar"/>
        </w:rPr>
        <w:t>广元市第一人民医院</w:t>
      </w:r>
    </w:p>
    <w:p>
      <w:pPr>
        <w:widowControl/>
        <w:spacing w:line="576" w:lineRule="exact"/>
        <w:ind w:firstLine="643" w:firstLineChars="200"/>
        <w:jc w:val="center"/>
        <w:rPr>
          <w:rFonts w:hint="eastAsia" w:ascii="黑体" w:hAnsi="黑体" w:eastAsia="黑体" w:cs="黑体"/>
          <w:b/>
          <w:color w:val="auto"/>
          <w:kern w:val="0"/>
          <w:sz w:val="32"/>
          <w:szCs w:val="30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kern w:val="0"/>
          <w:sz w:val="32"/>
          <w:szCs w:val="30"/>
          <w:lang w:val="en-US" w:eastAsia="zh-CN" w:bidi="ar"/>
        </w:rPr>
        <w:t>护工管理服务机构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zCs w:val="30"/>
          <w:lang w:bidi="ar"/>
        </w:rPr>
        <w:t>公开选择评分细则</w:t>
      </w:r>
    </w:p>
    <w:tbl>
      <w:tblPr>
        <w:tblStyle w:val="4"/>
        <w:tblpPr w:leftFromText="180" w:rightFromText="180" w:vertAnchor="text" w:horzAnchor="margin" w:tblpX="118" w:tblpY="1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75"/>
        <w:gridCol w:w="495"/>
        <w:gridCol w:w="298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  <w:color w:val="auto"/>
                <w:sz w:val="24"/>
                <w:szCs w:val="24"/>
              </w:rPr>
              <w:t>评分因素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  <w:color w:val="auto"/>
                <w:sz w:val="24"/>
                <w:szCs w:val="24"/>
              </w:rPr>
              <w:t>及权重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 价     30%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以危重病人的全天陪护价格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半天陪护价格之和为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参选的护工管理服务机构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对本项目的响应报价。</w:t>
            </w:r>
          </w:p>
          <w:p>
            <w:pPr>
              <w:pStyle w:val="6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以本次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参选的所有护工管理服务机构的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最低响应报价为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本项目比选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基准价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护工管理服务机构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响应报价得分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本项目比选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基准价／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该机构的本项目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响应报价)×价格权值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(30%)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服务方案  30%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提供的护工管理服务方案和人员培训资料的完整性、可行性和合理性等进行综合评定。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tabs>
                <w:tab w:val="left" w:pos="64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1.服务方案和人员培训资料完全符合项目要求，能最大程度满足医院需求，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包括提供母婴照护等特殊需求，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得21-30分。</w:t>
            </w:r>
          </w:p>
          <w:p>
            <w:pPr>
              <w:tabs>
                <w:tab w:val="left" w:pos="64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2.服务方案和人员培训资料基本合理，得11-20分。</w:t>
            </w:r>
          </w:p>
          <w:p>
            <w:pPr>
              <w:tabs>
                <w:tab w:val="left" w:pos="64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3.服务方案和人员培训资料一般，得6-10分。</w:t>
            </w:r>
          </w:p>
          <w:p>
            <w:pPr>
              <w:tabs>
                <w:tab w:val="left" w:pos="64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4.服务方案和人员培训资料差，得1-5分。</w:t>
            </w:r>
          </w:p>
          <w:p>
            <w:pPr>
              <w:tabs>
                <w:tab w:val="left" w:pos="64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5.未提供服务方案和人员培训资料的不得分。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服务承诺  10%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提供的服务承诺完整性、科学性、合理性进行综合评定。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1.服务承诺最优者得5分，其次得3-4分，一般得1-2分，差或未提供的不得分。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2.服务承诺中包含非医疗性质的保健类、生活类护理得2分，无则不得分。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3.有纠纷处理承诺得3分，无则不得分。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内控制度  10%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提供的公司管理及内控制度进行综合评定。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1.有详细的公司内部质量管理控制标准得4-5分，有但不完善得1-3分，差或未提供的不得分。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2.有详细的公司管理制度得4-5分，有但不完善得1-3分，无制度或未提供不得分。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业 绩      10%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提供的201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年以来类似业绩证明材料进行评定。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1.每提供1份类似业绩证明材料得1分，最多得10分（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提供合同复印件）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2.无类似业绩或未提供合同复印件的均不得分。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 誉      8%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查看管理体系认证或企业荣誉证书复印件。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取得政府或权威机构认定的质量管理体系认证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得8分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2.若有失信记录，该项目不得分。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510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文件规范性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2%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提供的投标文件资料进行综合评定。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文件制作规范，没有细微偏差情形的得2分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文件每出现一项细微偏差扣0.5分，直至该项分值扣完为止。</w:t>
            </w:r>
          </w:p>
        </w:tc>
      </w:tr>
    </w:tbl>
    <w:p>
      <w:pPr>
        <w:spacing w:line="540" w:lineRule="exac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/>
    <w:sectPr>
      <w:footerReference r:id="rId3" w:type="default"/>
      <w:pgSz w:w="11910" w:h="16840"/>
      <w:pgMar w:top="2098" w:right="1474" w:bottom="1984" w:left="1587" w:header="0" w:footer="99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8F95D"/>
    <w:multiLevelType w:val="singleLevel"/>
    <w:tmpl w:val="CA48F9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3F82"/>
    <w:rsid w:val="0FAA00D6"/>
    <w:rsid w:val="29CA6F2B"/>
    <w:rsid w:val="6C603F82"/>
    <w:rsid w:val="74D5244A"/>
    <w:rsid w:val="79C343D2"/>
    <w:rsid w:val="79C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4"/>
      <w:ind w:left="102"/>
    </w:pPr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2021-03-03T11:20:00Z</dcterms:created>
  <dc:creator>美若黎明</dc:creator>
  <cp:lastModifiedBy>美若黎明</cp:lastModifiedBy>
  <dcterms:modified xsi:type="dcterms:W3CDTF">2021-03-03T11:23:34Z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C20A5156A85B43D9AE50A723FABC99F3</vt:lpwstr>
  </property>
</Properties>
</file>