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420" w:lineRule="exact"/>
        <w:jc w:val="center"/>
        <w:rPr>
          <w:rFonts w:ascii="宋体" w:hAnsi="宋体" w:cs="宋体"/>
          <w:b/>
          <w:kern w:val="0"/>
          <w:sz w:val="36"/>
          <w:szCs w:val="36"/>
        </w:rPr>
      </w:pPr>
    </w:p>
    <w:p>
      <w:pPr>
        <w:widowControl/>
        <w:spacing w:before="100" w:beforeAutospacing="1" w:after="100" w:afterAutospacing="1" w:line="420" w:lineRule="exact"/>
        <w:jc w:val="center"/>
        <w:rPr>
          <w:rFonts w:ascii="宋体" w:hAnsi="宋体" w:cs="宋体"/>
          <w:b/>
          <w:kern w:val="0"/>
          <w:sz w:val="36"/>
          <w:szCs w:val="36"/>
        </w:rPr>
      </w:pPr>
    </w:p>
    <w:p>
      <w:pPr>
        <w:widowControl/>
        <w:spacing w:before="100" w:beforeAutospacing="1" w:after="100" w:afterAutospacing="1" w:line="420" w:lineRule="exact"/>
        <w:jc w:val="both"/>
        <w:rPr>
          <w:rFonts w:ascii="宋体" w:hAnsi="宋体" w:cs="宋体"/>
          <w:b w:val="0"/>
          <w:bCs/>
          <w:kern w:val="0"/>
          <w:sz w:val="36"/>
          <w:szCs w:val="36"/>
        </w:rPr>
      </w:pPr>
      <w:r>
        <w:rPr>
          <w:rFonts w:hint="eastAsia" w:ascii="方正小标宋简体" w:hAnsi="方正小标宋简体" w:eastAsia="方正小标宋简体" w:cs="方正小标宋简体"/>
          <w:b w:val="0"/>
          <w:bCs/>
          <w:kern w:val="0"/>
          <w:sz w:val="36"/>
          <w:szCs w:val="36"/>
        </w:rPr>
        <w:t>项目编号：</w:t>
      </w:r>
      <w:r>
        <w:rPr>
          <w:rFonts w:hint="eastAsia" w:ascii="方正小标宋简体" w:hAnsi="方正小标宋简体" w:eastAsia="方正小标宋简体" w:cs="方正小标宋简体"/>
          <w:b w:val="0"/>
          <w:bCs/>
          <w:kern w:val="0"/>
          <w:sz w:val="32"/>
          <w:szCs w:val="32"/>
          <w:lang w:val="en-US" w:eastAsia="zh-CN" w:bidi="ar"/>
        </w:rPr>
        <w:t>ZW201803353</w:t>
      </w:r>
    </w:p>
    <w:p>
      <w:pPr>
        <w:widowControl/>
        <w:spacing w:before="100" w:beforeAutospacing="1" w:after="100" w:afterAutospacing="1" w:line="600" w:lineRule="exact"/>
        <w:jc w:val="center"/>
        <w:rPr>
          <w:rFonts w:ascii="宋体" w:hAnsi="宋体"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76" w:lineRule="exact"/>
        <w:ind w:right="0" w:rightChars="0"/>
        <w:jc w:val="center"/>
        <w:textAlignment w:val="auto"/>
        <w:outlineLvl w:val="9"/>
        <w:rPr>
          <w:rFonts w:hint="eastAsia" w:ascii="方正小标宋简体" w:hAnsi="方正小标宋简体" w:eastAsia="方正小标宋简体" w:cs="方正小标宋简体"/>
          <w:b w:val="0"/>
          <w:bCs/>
          <w:sz w:val="52"/>
          <w:szCs w:val="52"/>
          <w:lang w:val="en-US" w:eastAsia="zh-CN"/>
        </w:rPr>
      </w:pPr>
      <w:r>
        <w:rPr>
          <w:rFonts w:hint="eastAsia" w:ascii="方正小标宋简体" w:hAnsi="方正小标宋简体" w:eastAsia="方正小标宋简体" w:cs="方正小标宋简体"/>
          <w:b w:val="0"/>
          <w:bCs/>
          <w:kern w:val="0"/>
          <w:sz w:val="52"/>
          <w:szCs w:val="52"/>
        </w:rPr>
        <w:t>广元市第一人民医院</w:t>
      </w:r>
      <w:r>
        <w:rPr>
          <w:rFonts w:hint="eastAsia" w:ascii="方正小标宋简体" w:hAnsi="方正小标宋简体" w:eastAsia="方正小标宋简体" w:cs="方正小标宋简体"/>
          <w:b w:val="0"/>
          <w:bCs/>
          <w:sz w:val="52"/>
          <w:szCs w:val="52"/>
          <w:lang w:val="en-US" w:eastAsia="zh-CN"/>
        </w:rPr>
        <w:t>绿植租摆服务项目</w:t>
      </w:r>
    </w:p>
    <w:p>
      <w:pPr>
        <w:widowControl/>
        <w:spacing w:before="100" w:beforeAutospacing="1" w:after="100" w:afterAutospacing="1" w:line="600" w:lineRule="exact"/>
        <w:jc w:val="center"/>
        <w:rPr>
          <w:rFonts w:ascii="宋体" w:hAnsi="宋体" w:cs="宋体"/>
          <w:b/>
          <w:kern w:val="0"/>
          <w:sz w:val="52"/>
          <w:szCs w:val="52"/>
        </w:rPr>
      </w:pP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pStyle w:val="13"/>
        <w:jc w:val="center"/>
        <w:rPr>
          <w:rFonts w:ascii="宋体" w:hAnsi="宋体"/>
          <w:b/>
          <w:sz w:val="84"/>
          <w:szCs w:val="84"/>
        </w:rPr>
      </w:pPr>
      <w:r>
        <w:rPr>
          <w:rFonts w:hint="eastAsia" w:ascii="宋体" w:hAnsi="宋体"/>
          <w:b/>
          <w:sz w:val="84"/>
          <w:szCs w:val="84"/>
        </w:rPr>
        <w:t>竞争性谈判文件</w:t>
      </w:r>
    </w:p>
    <w:p>
      <w:pPr>
        <w:widowControl/>
        <w:spacing w:before="100" w:beforeAutospacing="1" w:after="100" w:afterAutospacing="1" w:line="600" w:lineRule="exact"/>
        <w:jc w:val="center"/>
        <w:rPr>
          <w:rFonts w:ascii="宋体" w:hAnsi="宋体" w:cs="宋体"/>
          <w:kern w:val="0"/>
          <w:sz w:val="52"/>
          <w:szCs w:val="52"/>
        </w:rPr>
      </w:pPr>
    </w:p>
    <w:p>
      <w:pPr>
        <w:widowControl/>
        <w:spacing w:before="100" w:beforeAutospacing="1" w:after="100" w:afterAutospacing="1" w:line="600" w:lineRule="exact"/>
        <w:jc w:val="center"/>
        <w:rPr>
          <w:rFonts w:ascii="宋体" w:hAnsi="宋体" w:cs="宋体"/>
          <w:kern w:val="0"/>
          <w:sz w:val="28"/>
          <w:szCs w:val="28"/>
        </w:rPr>
      </w:pPr>
    </w:p>
    <w:p>
      <w:pPr>
        <w:widowControl/>
        <w:spacing w:before="100" w:beforeAutospacing="1" w:after="100" w:afterAutospacing="1" w:line="600" w:lineRule="exact"/>
        <w:rPr>
          <w:rFonts w:ascii="宋体" w:hAnsi="宋体" w:cs="宋体"/>
          <w:kern w:val="0"/>
          <w:sz w:val="28"/>
          <w:szCs w:val="28"/>
        </w:rPr>
      </w:pPr>
    </w:p>
    <w:p>
      <w:pPr>
        <w:spacing w:line="360" w:lineRule="auto"/>
        <w:jc w:val="center"/>
        <w:rPr>
          <w:rFonts w:ascii="宋体" w:hAnsi="宋体"/>
          <w:b/>
          <w:sz w:val="36"/>
          <w:szCs w:val="36"/>
        </w:rPr>
      </w:pPr>
      <w:r>
        <w:rPr>
          <w:rFonts w:hint="eastAsia" w:ascii="宋体" w:hAnsi="宋体"/>
          <w:b/>
          <w:sz w:val="36"/>
          <w:szCs w:val="36"/>
        </w:rPr>
        <w:t>采 购 人：广元市第一人民医院</w:t>
      </w:r>
    </w:p>
    <w:p>
      <w:pPr>
        <w:spacing w:line="360" w:lineRule="auto"/>
        <w:jc w:val="center"/>
        <w:rPr>
          <w:rFonts w:ascii="宋体" w:hAnsi="宋体"/>
          <w:b/>
          <w:sz w:val="36"/>
          <w:szCs w:val="36"/>
        </w:rPr>
      </w:pPr>
    </w:p>
    <w:p>
      <w:pPr>
        <w:spacing w:line="360" w:lineRule="auto"/>
        <w:jc w:val="center"/>
        <w:rPr>
          <w:rFonts w:hint="eastAsia" w:ascii="宋体" w:hAnsi="宋体"/>
          <w:b/>
          <w:sz w:val="36"/>
          <w:szCs w:val="36"/>
        </w:rPr>
      </w:pPr>
      <w:r>
        <w:rPr>
          <w:rFonts w:hint="eastAsia" w:ascii="宋体" w:hAnsi="宋体"/>
          <w:b/>
          <w:sz w:val="36"/>
          <w:szCs w:val="36"/>
        </w:rPr>
        <w:t>2018年9月</w:t>
      </w:r>
    </w:p>
    <w:p>
      <w:pPr>
        <w:spacing w:line="360" w:lineRule="auto"/>
        <w:jc w:val="center"/>
        <w:rPr>
          <w:rFonts w:hint="eastAsia" w:ascii="宋体" w:hAnsi="宋体"/>
          <w:b/>
          <w:sz w:val="36"/>
          <w:szCs w:val="36"/>
        </w:rPr>
      </w:pP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right="0" w:rightChars="0" w:firstLine="640" w:firstLineChars="200"/>
        <w:jc w:val="center"/>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竞争性谈判邀请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广元市第一人民医院绿植租摆服务项目采用竞争性谈判方式，现邀请合格的承包商参加报价和谈判。</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一、项目名称：</w:t>
      </w:r>
      <w:r>
        <w:rPr>
          <w:rFonts w:hint="eastAsia" w:ascii="仿宋_GB2312" w:hAnsi="仿宋_GB2312" w:eastAsia="仿宋_GB2312" w:cs="仿宋_GB2312"/>
          <w:sz w:val="32"/>
          <w:szCs w:val="32"/>
          <w:lang w:val="en-US" w:eastAsia="zh-CN"/>
        </w:rPr>
        <w:t>广元市第一人民医院绿植租摆服务项目</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二、竞争性谈判保证金及提交方式：</w:t>
      </w:r>
      <w:r>
        <w:rPr>
          <w:rFonts w:hint="eastAsia" w:ascii="仿宋_GB2312" w:hAnsi="仿宋_GB2312" w:eastAsia="仿宋_GB2312" w:cs="仿宋_GB2312"/>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三、响应文件份数：</w:t>
      </w:r>
      <w:r>
        <w:rPr>
          <w:rFonts w:hint="eastAsia" w:ascii="仿宋_GB2312" w:hAnsi="仿宋_GB2312" w:eastAsia="仿宋_GB2312" w:cs="仿宋_GB2312"/>
          <w:sz w:val="32"/>
          <w:szCs w:val="32"/>
          <w:lang w:val="en-US" w:eastAsia="zh-CN"/>
        </w:rPr>
        <w:t>正副本各一份。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四、谈判时间：</w:t>
      </w:r>
      <w:r>
        <w:rPr>
          <w:rFonts w:hint="eastAsia" w:ascii="仿宋_GB2312" w:hAnsi="仿宋_GB2312" w:eastAsia="仿宋_GB2312" w:cs="仿宋_GB2312"/>
          <w:sz w:val="32"/>
          <w:szCs w:val="32"/>
          <w:lang w:val="en-US" w:eastAsia="zh-CN"/>
        </w:rPr>
        <w:t>2018年9月25日10时。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五、谈判地点：</w:t>
      </w:r>
      <w:r>
        <w:rPr>
          <w:rFonts w:hint="eastAsia" w:ascii="仿宋_GB2312" w:hAnsi="仿宋_GB2312" w:eastAsia="仿宋_GB2312" w:cs="仿宋_GB2312"/>
          <w:sz w:val="32"/>
          <w:szCs w:val="32"/>
          <w:lang w:val="en-US" w:eastAsia="zh-CN"/>
        </w:rPr>
        <w:t>综合科楼4楼一会议室。届时请参加谈判的单位法定代表人或委托代理人参与谈判。</w:t>
      </w:r>
    </w:p>
    <w:p>
      <w:pPr>
        <w:shd w:val="solid" w:color="FFFFFF" w:fill="auto"/>
        <w:autoSpaceDN w:val="0"/>
        <w:spacing w:line="576" w:lineRule="exact"/>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六、递交响应文件截止时间：</w:t>
      </w:r>
      <w:r>
        <w:rPr>
          <w:rFonts w:hint="eastAsia" w:ascii="仿宋_GB2312" w:hAnsi="仿宋_GB2312" w:eastAsia="仿宋_GB2312" w:cs="仿宋_GB2312"/>
          <w:color w:val="333333"/>
          <w:sz w:val="32"/>
          <w:szCs w:val="32"/>
          <w:shd w:val="clear" w:color="auto" w:fill="FFFFFF"/>
        </w:rPr>
        <w:t>响应文件必须</w:t>
      </w:r>
      <w:r>
        <w:rPr>
          <w:rFonts w:hint="eastAsia" w:ascii="仿宋_GB2312" w:hAnsi="仿宋_GB2312" w:eastAsia="仿宋_GB2312" w:cs="仿宋_GB2312"/>
          <w:color w:val="000000"/>
          <w:sz w:val="32"/>
          <w:szCs w:val="32"/>
          <w:shd w:val="clear" w:color="auto" w:fill="FFFFFF"/>
        </w:rPr>
        <w:t>密封后加盖鲜章，</w:t>
      </w:r>
      <w:r>
        <w:rPr>
          <w:rFonts w:hint="eastAsia" w:ascii="仿宋_GB2312" w:hAnsi="仿宋_GB2312" w:eastAsia="仿宋_GB2312" w:cs="仿宋_GB2312"/>
          <w:color w:val="333333"/>
          <w:sz w:val="32"/>
          <w:szCs w:val="32"/>
          <w:shd w:val="clear" w:color="auto" w:fill="FFFFFF"/>
          <w:lang w:eastAsia="zh-CN"/>
        </w:rPr>
        <w:t>谈判</w:t>
      </w:r>
      <w:r>
        <w:rPr>
          <w:rFonts w:hint="eastAsia" w:ascii="仿宋_GB2312" w:hAnsi="仿宋_GB2312" w:eastAsia="仿宋_GB2312" w:cs="仿宋_GB2312"/>
          <w:color w:val="333333"/>
          <w:sz w:val="32"/>
          <w:szCs w:val="32"/>
          <w:shd w:val="clear" w:color="auto" w:fill="FFFFFF"/>
        </w:rPr>
        <w:t>前半小时内送达谈判地点，逾期送达的响应文件恕不接收。本次谈判不接受邮寄的响应文件。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联系人：叶女士</w:t>
      </w:r>
    </w:p>
    <w:p>
      <w:pPr>
        <w:keepNext w:val="0"/>
        <w:keepLines w:val="0"/>
        <w:pageBreakBefore w:val="0"/>
        <w:widowControl/>
        <w:kinsoku/>
        <w:wordWrap/>
        <w:overflowPunct/>
        <w:topLinePunct w:val="0"/>
        <w:autoSpaceDE/>
        <w:autoSpaceDN/>
        <w:bidi w:val="0"/>
        <w:adjustRightInd/>
        <w:snapToGrid/>
        <w:spacing w:after="50" w:line="360" w:lineRule="auto"/>
        <w:ind w:left="0" w:leftChars="0" w:right="48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联系电话：13518325555</w:t>
      </w:r>
    </w:p>
    <w:p>
      <w:pPr>
        <w:keepNext w:val="0"/>
        <w:keepLines w:val="0"/>
        <w:pageBreakBefore w:val="0"/>
        <w:widowControl/>
        <w:kinsoku/>
        <w:wordWrap/>
        <w:overflowPunct/>
        <w:topLinePunct w:val="0"/>
        <w:autoSpaceDE/>
        <w:autoSpaceDN/>
        <w:bidi w:val="0"/>
        <w:adjustRightInd/>
        <w:snapToGrid/>
        <w:spacing w:after="50" w:line="360" w:lineRule="auto"/>
        <w:ind w:left="0" w:leftChars="0" w:right="48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snapToGrid/>
        <w:spacing w:after="50" w:line="360" w:lineRule="auto"/>
        <w:ind w:left="0" w:leftChars="0" w:right="48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center"/>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第二章   采购产品技术参数及服务要求</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一、技术部分：租摆服务细则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lang w:val="en-US" w:eastAsia="zh-CN"/>
        </w:rPr>
        <w:t>1.</w:t>
      </w:r>
      <w:r>
        <w:rPr>
          <w:rFonts w:hint="eastAsia" w:ascii="仿宋_GB2312" w:hAnsi="仿宋_GB2312" w:eastAsia="仿宋_GB2312" w:cs="仿宋_GB2312"/>
          <w:i w:val="0"/>
          <w:caps w:val="0"/>
          <w:color w:val="333333"/>
          <w:spacing w:val="0"/>
          <w:sz w:val="32"/>
          <w:szCs w:val="32"/>
          <w:shd w:val="clear" w:color="auto" w:fill="auto"/>
          <w:lang w:eastAsia="zh-CN"/>
        </w:rPr>
        <w:t>绿植</w:t>
      </w:r>
      <w:r>
        <w:rPr>
          <w:rFonts w:hint="eastAsia" w:ascii="仿宋_GB2312" w:hAnsi="仿宋_GB2312" w:eastAsia="仿宋_GB2312" w:cs="仿宋_GB2312"/>
          <w:i w:val="0"/>
          <w:caps w:val="0"/>
          <w:color w:val="333333"/>
          <w:spacing w:val="0"/>
          <w:sz w:val="32"/>
          <w:szCs w:val="32"/>
          <w:shd w:val="clear" w:color="auto" w:fill="auto"/>
        </w:rPr>
        <w:t>摆放标准：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textAlignment w:val="auto"/>
        <w:outlineLvl w:val="9"/>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i w:val="0"/>
          <w:caps w:val="0"/>
          <w:color w:val="333333"/>
          <w:spacing w:val="0"/>
          <w:sz w:val="32"/>
          <w:szCs w:val="32"/>
          <w:shd w:val="clear" w:color="auto" w:fill="auto"/>
          <w:lang w:eastAsia="zh-CN"/>
        </w:rPr>
        <w:t>（</w:t>
      </w:r>
      <w:r>
        <w:rPr>
          <w:rFonts w:hint="eastAsia" w:ascii="仿宋_GB2312" w:hAnsi="仿宋_GB2312" w:eastAsia="仿宋_GB2312" w:cs="仿宋_GB2312"/>
          <w:i w:val="0"/>
          <w:caps w:val="0"/>
          <w:color w:val="333333"/>
          <w:spacing w:val="0"/>
          <w:sz w:val="32"/>
          <w:szCs w:val="32"/>
          <w:shd w:val="clear" w:color="auto" w:fill="auto"/>
          <w:lang w:val="en-US" w:eastAsia="zh-CN"/>
        </w:rPr>
        <w:t>1</w:t>
      </w:r>
      <w:r>
        <w:rPr>
          <w:rFonts w:hint="eastAsia" w:ascii="仿宋_GB2312" w:hAnsi="仿宋_GB2312" w:eastAsia="仿宋_GB2312" w:cs="仿宋_GB2312"/>
          <w:i w:val="0"/>
          <w:caps w:val="0"/>
          <w:color w:val="333333"/>
          <w:spacing w:val="0"/>
          <w:sz w:val="32"/>
          <w:szCs w:val="32"/>
          <w:shd w:val="clear" w:color="auto" w:fill="auto"/>
          <w:lang w:eastAsia="zh-CN"/>
        </w:rPr>
        <w:t>）</w:t>
      </w:r>
      <w:r>
        <w:rPr>
          <w:rFonts w:hint="eastAsia" w:ascii="仿宋_GB2312" w:hAnsi="仿宋_GB2312" w:eastAsia="仿宋_GB2312" w:cs="仿宋_GB2312"/>
          <w:i w:val="0"/>
          <w:caps w:val="0"/>
          <w:color w:val="333333"/>
          <w:spacing w:val="0"/>
          <w:sz w:val="32"/>
          <w:szCs w:val="32"/>
          <w:shd w:val="clear" w:color="auto" w:fill="auto"/>
        </w:rPr>
        <w:t>植株丰满健壮，株型自然匀，无灰尘赃</w:t>
      </w:r>
      <w:r>
        <w:rPr>
          <w:rFonts w:hint="eastAsia" w:ascii="仿宋_GB2312" w:hAnsi="仿宋_GB2312" w:eastAsia="仿宋_GB2312" w:cs="仿宋_GB2312"/>
          <w:i w:val="0"/>
          <w:caps w:val="0"/>
          <w:color w:val="333333"/>
          <w:spacing w:val="0"/>
          <w:sz w:val="32"/>
          <w:szCs w:val="32"/>
          <w:shd w:val="clear" w:color="auto" w:fill="auto"/>
          <w:lang w:val="en-US" w:eastAsia="zh-CN"/>
        </w:rPr>
        <w:t>(脏)</w:t>
      </w:r>
      <w:r>
        <w:rPr>
          <w:rFonts w:hint="eastAsia" w:ascii="仿宋_GB2312" w:hAnsi="仿宋_GB2312" w:eastAsia="仿宋_GB2312" w:cs="仿宋_GB2312"/>
          <w:i w:val="0"/>
          <w:caps w:val="0"/>
          <w:color w:val="333333"/>
          <w:spacing w:val="0"/>
          <w:sz w:val="32"/>
          <w:szCs w:val="32"/>
          <w:shd w:val="clear" w:color="auto" w:fill="auto"/>
        </w:rPr>
        <w:t>物，无明显病班</w:t>
      </w:r>
      <w:r>
        <w:rPr>
          <w:rFonts w:hint="eastAsia" w:ascii="仿宋_GB2312" w:hAnsi="仿宋_GB2312" w:eastAsia="仿宋_GB2312" w:cs="仿宋_GB2312"/>
          <w:i w:val="0"/>
          <w:caps w:val="0"/>
          <w:color w:val="333333"/>
          <w:spacing w:val="0"/>
          <w:sz w:val="32"/>
          <w:szCs w:val="32"/>
          <w:shd w:val="clear" w:color="auto" w:fill="auto"/>
          <w:lang w:eastAsia="zh-CN"/>
        </w:rPr>
        <w:t>（斑）</w:t>
      </w:r>
      <w:r>
        <w:rPr>
          <w:rFonts w:hint="eastAsia" w:ascii="仿宋_GB2312" w:hAnsi="仿宋_GB2312" w:eastAsia="仿宋_GB2312" w:cs="仿宋_GB2312"/>
          <w:i w:val="0"/>
          <w:caps w:val="0"/>
          <w:color w:val="333333"/>
          <w:spacing w:val="0"/>
          <w:sz w:val="32"/>
          <w:szCs w:val="32"/>
          <w:shd w:val="clear" w:color="auto" w:fill="auto"/>
        </w:rPr>
        <w:t>，无明显虫害，无残留害虫。</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（2）植株无残，要合理修剪，保持株形美观自然。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（3）不过量浇水，又不缺水份，保持植物对生长水分的需求。</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（4）保持植物的花盆、器皿干净整洁，无脏污，花盆内无杂物、垃圾，对损坏残缺的花盆套缸及时更换，无烂盆坏盆，底碟、套缸、花盆的颜色搭配适当。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（5）保持花盆、底碟，套缸清洁，定期清洗，干净整洁，每次养护完毕，清理现场保持现场清洁。</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（6）植物绿植在摆放期间要保证其生长需要，必须要定期施用肥料，施用的肥料应无异味、无毒的有机肥或高效无机肥。但要保证无刺激性气味，保证摆放环境自然。对虫害严重的应更换。</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2.绿植服务标准：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（1）养护员每次护理对出现黄叶残叶，树型不对称，有陡长枝的要及时修剪。对叶面桔黄面积超过1/3以上应用剪刀顺着叶形将枯黄部分剪除，注意保留叶形，不可一刀切过。</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（2）租赁的花木的配套用品，如花盆、托盘、花架等由专业的养护人员负责清理。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（3）每次护理完毕将现场积水拖干，清除残叶残花等。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（4）养护人员要对采购方每周反馈并登记植物情况，项目负责人安排三日内更换，原则上每季换花不得少于二次。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（5）室内绿植浇水量根据绿植所处的绿植品种、习性、季节调理浇水量，对多肉多浆、宿根类植物要少浇水。夏秋两季多浇水，冬春两季少浇水，保持适量水分。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（6）定期进行质量服务检查，征求采购单位意见，及时解决出现的问题。</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3.进场服务规范：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（1）进入办公区要做到文明礼貌，不得大场喧哗。</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（2）遵守采购单位规章制度，不得妨碍采购单位的正常工作，不得影响患者休息。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（3）进入采购单位办公室、会议室等要由采购单位工作人员引入。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（4）请采购单位相关人员在养护单上签字。</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（5）设立24小时服务热线，负责解答用户遇到的问题。</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（6）发现绿植枯死或影响美观的三日内进行更换。</w:t>
      </w:r>
    </w:p>
    <w:p>
      <w:pPr>
        <w:spacing w:line="360" w:lineRule="auto"/>
        <w:ind w:firstLine="482" w:firstLineChars="200"/>
        <w:rPr>
          <w:rFonts w:hint="eastAsia" w:ascii="楷体_GB2312" w:hAnsi="楷体_GB2312" w:eastAsia="楷体_GB2312" w:cs="楷体_GB2312"/>
          <w:b w:val="0"/>
          <w:bCs/>
          <w:sz w:val="32"/>
          <w:szCs w:val="32"/>
          <w:shd w:val="clear" w:color="auto" w:fill="auto"/>
        </w:rPr>
      </w:pPr>
      <w:r>
        <w:rPr>
          <w:rFonts w:hint="eastAsia" w:ascii="楷体_GB2312" w:hAnsi="楷体_GB2312" w:eastAsia="楷体_GB2312" w:cs="楷体_GB2312"/>
          <w:b w:val="0"/>
          <w:bCs/>
          <w:sz w:val="32"/>
          <w:szCs w:val="32"/>
          <w:shd w:val="clear" w:color="auto" w:fill="auto"/>
        </w:rPr>
        <w:t>二、报价要求</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bookmarkStart w:id="0" w:name="_Toc217446049"/>
      <w:bookmarkStart w:id="1" w:name="_Toc183682355"/>
      <w:bookmarkStart w:id="2" w:name="_Toc183582218"/>
      <w:r>
        <w:rPr>
          <w:rFonts w:hint="eastAsia" w:ascii="仿宋_GB2312" w:hAnsi="仿宋_GB2312" w:eastAsia="仿宋_GB2312" w:cs="仿宋_GB2312"/>
          <w:sz w:val="32"/>
          <w:szCs w:val="32"/>
          <w:shd w:val="clear" w:color="auto" w:fill="auto"/>
          <w:lang w:val="en-US" w:eastAsia="zh-CN"/>
        </w:rPr>
        <w:t>（一）合理报价，不能恶性竞争。</w:t>
      </w:r>
      <w:bookmarkStart w:id="6" w:name="_GoBack"/>
      <w:bookmarkEnd w:id="6"/>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（二）报价费含绿植租摆费、人工费、养护费、税费等一切费。</w:t>
      </w:r>
    </w:p>
    <w:p>
      <w:pPr>
        <w:spacing w:line="360" w:lineRule="auto"/>
        <w:ind w:firstLine="482" w:firstLineChars="200"/>
        <w:rPr>
          <w:rFonts w:hint="eastAsia" w:ascii="楷体_GB2312" w:hAnsi="楷体_GB2312" w:eastAsia="楷体_GB2312" w:cs="楷体_GB2312"/>
          <w:b w:val="0"/>
          <w:bCs/>
          <w:sz w:val="32"/>
          <w:szCs w:val="32"/>
          <w:shd w:val="clear" w:color="auto" w:fill="auto"/>
        </w:rPr>
      </w:pPr>
      <w:r>
        <w:rPr>
          <w:rFonts w:hint="eastAsia" w:ascii="楷体_GB2312" w:hAnsi="楷体_GB2312" w:eastAsia="楷体_GB2312" w:cs="楷体_GB2312"/>
          <w:b w:val="0"/>
          <w:bCs/>
          <w:sz w:val="32"/>
          <w:szCs w:val="32"/>
          <w:shd w:val="clear" w:color="auto" w:fill="auto"/>
          <w:lang w:val="en-US" w:eastAsia="zh-CN"/>
        </w:rPr>
        <w:t>三、响应性文件的组成</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（一）商务部分：谈判申请及声明、营业执照（复印件）、法人（委托代理人）身份证（复印件）、从业经历（复印件，原件备查）、其它资信证明等。</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shd w:val="clear" w:color="auto" w:fill="auto"/>
          <w:lang w:val="zh-CN"/>
        </w:rPr>
      </w:pPr>
      <w:r>
        <w:rPr>
          <w:rFonts w:hint="eastAsia" w:ascii="仿宋_GB2312" w:hAnsi="仿宋_GB2312" w:eastAsia="仿宋_GB2312" w:cs="仿宋_GB2312"/>
          <w:kern w:val="0"/>
          <w:sz w:val="32"/>
          <w:szCs w:val="32"/>
          <w:shd w:val="clear" w:color="auto" w:fill="auto"/>
          <w:lang w:val="en-US" w:eastAsia="zh-CN"/>
        </w:rPr>
        <w:t>1.</w:t>
      </w:r>
      <w:r>
        <w:rPr>
          <w:rFonts w:hint="eastAsia" w:ascii="仿宋_GB2312" w:hAnsi="仿宋_GB2312" w:eastAsia="仿宋_GB2312" w:cs="仿宋_GB2312"/>
          <w:kern w:val="0"/>
          <w:sz w:val="32"/>
          <w:szCs w:val="32"/>
          <w:shd w:val="clear" w:color="auto" w:fill="auto"/>
          <w:lang w:val="zh-CN"/>
        </w:rPr>
        <w:t>报价文件需装订成册用文件袋密封，</w:t>
      </w:r>
      <w:r>
        <w:rPr>
          <w:rFonts w:hint="eastAsia" w:ascii="仿宋_GB2312" w:hAnsi="仿宋_GB2312" w:eastAsia="仿宋_GB2312" w:cs="仿宋_GB2312"/>
          <w:kern w:val="0"/>
          <w:sz w:val="32"/>
          <w:szCs w:val="32"/>
          <w:shd w:val="clear" w:color="auto" w:fill="auto"/>
        </w:rPr>
        <w:t>并在密封处加盖报价公司鲜章。</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shd w:val="clear" w:color="auto" w:fill="auto"/>
          <w:lang w:val="zh-CN"/>
        </w:rPr>
      </w:pPr>
      <w:r>
        <w:rPr>
          <w:rFonts w:hint="eastAsia" w:ascii="仿宋_GB2312" w:hAnsi="仿宋_GB2312" w:eastAsia="仿宋_GB2312" w:cs="仿宋_GB2312"/>
          <w:kern w:val="0"/>
          <w:sz w:val="32"/>
          <w:szCs w:val="32"/>
          <w:shd w:val="clear" w:color="auto" w:fill="auto"/>
          <w:lang w:val="en-US" w:eastAsia="zh-CN"/>
        </w:rPr>
        <w:t>2.</w:t>
      </w:r>
      <w:r>
        <w:rPr>
          <w:rFonts w:hint="eastAsia" w:ascii="仿宋_GB2312" w:hAnsi="仿宋_GB2312" w:eastAsia="仿宋_GB2312" w:cs="仿宋_GB2312"/>
          <w:kern w:val="0"/>
          <w:sz w:val="32"/>
          <w:szCs w:val="32"/>
          <w:shd w:val="clear" w:color="auto" w:fill="auto"/>
          <w:lang w:val="zh-CN"/>
        </w:rPr>
        <w:t>报价文件份数：正本 1份；副本</w:t>
      </w:r>
      <w:r>
        <w:rPr>
          <w:rFonts w:hint="eastAsia" w:ascii="仿宋_GB2312" w:hAnsi="仿宋_GB2312" w:eastAsia="仿宋_GB2312" w:cs="仿宋_GB2312"/>
          <w:kern w:val="0"/>
          <w:sz w:val="32"/>
          <w:szCs w:val="32"/>
          <w:shd w:val="clear" w:color="auto" w:fill="auto"/>
        </w:rPr>
        <w:t>1</w:t>
      </w:r>
      <w:r>
        <w:rPr>
          <w:rFonts w:hint="eastAsia" w:ascii="仿宋_GB2312" w:hAnsi="仿宋_GB2312" w:eastAsia="仿宋_GB2312" w:cs="仿宋_GB2312"/>
          <w:kern w:val="0"/>
          <w:sz w:val="32"/>
          <w:szCs w:val="32"/>
          <w:shd w:val="clear" w:color="auto" w:fill="auto"/>
          <w:lang w:val="zh-CN"/>
        </w:rPr>
        <w:t>份。</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shd w:val="clear" w:color="auto" w:fill="auto"/>
          <w:lang w:val="en-US" w:eastAsia="zh-CN"/>
        </w:rPr>
        <w:t>3.</w:t>
      </w:r>
      <w:r>
        <w:rPr>
          <w:rFonts w:hint="eastAsia" w:ascii="仿宋_GB2312" w:hAnsi="仿宋_GB2312" w:eastAsia="仿宋_GB2312" w:cs="仿宋_GB2312"/>
          <w:kern w:val="0"/>
          <w:sz w:val="32"/>
          <w:szCs w:val="32"/>
          <w:shd w:val="clear" w:color="auto" w:fill="auto"/>
          <w:lang w:val="zh-CN"/>
        </w:rPr>
        <w:t>报价文件封面的标注：报价文件正本和副本的封面上均应标明：项目名称、项目编号、报价人名称、联系</w:t>
      </w:r>
      <w:r>
        <w:rPr>
          <w:rFonts w:hint="eastAsia" w:ascii="仿宋_GB2312" w:hAnsi="仿宋_GB2312" w:eastAsia="仿宋_GB2312" w:cs="仿宋_GB2312"/>
          <w:kern w:val="0"/>
          <w:sz w:val="32"/>
          <w:szCs w:val="32"/>
          <w:lang w:val="zh-CN"/>
        </w:rPr>
        <w:t>人、联系方式、年月日；并分别在右上角标明“正本”和“副本”字样。</w:t>
      </w:r>
    </w:p>
    <w:p>
      <w:pPr>
        <w:keepNext w:val="0"/>
        <w:keepLines w:val="0"/>
        <w:pageBreakBefore w:val="0"/>
        <w:widowControl w:val="0"/>
        <w:kinsoku/>
        <w:wordWrap/>
        <w:overflowPunct/>
        <w:topLinePunct w:val="0"/>
        <w:bidi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报价文件外层密封袋的标注：项目名称、招标编号、报价人名称、年月日。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rPr>
        <w:t>报价人必须按照谈判文件的规定和要求签字、盖章（法人代表的签字可用具有法定效力的签字章）。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（二）报价部分：绿植租赁清单（绿植的品种、数量、规格）报价清单、报价汇总表。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绿植租赁清单及报价</w:t>
      </w:r>
    </w:p>
    <w:tbl>
      <w:tblPr>
        <w:tblStyle w:val="11"/>
        <w:tblpPr w:leftFromText="180" w:rightFromText="180" w:vertAnchor="text" w:horzAnchor="page" w:tblpX="1747" w:tblpY="436"/>
        <w:tblOverlap w:val="never"/>
        <w:tblW w:w="8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210"/>
        <w:gridCol w:w="1184"/>
        <w:gridCol w:w="1184"/>
        <w:gridCol w:w="1184"/>
        <w:gridCol w:w="118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lang w:val="en-US" w:eastAsia="zh-CN"/>
              </w:rPr>
              <w:t>绿植摆放位置</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品种名称</w:t>
            </w: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数  量</w:t>
            </w: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单  位</w:t>
            </w: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规  格</w:t>
            </w: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楼层</w:t>
            </w: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综合大楼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门诊楼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门诊东辅楼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门诊西辅楼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内科楼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海油外科楼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海油外科楼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东辅楼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海油外科楼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西辅楼</w:t>
            </w:r>
          </w:p>
        </w:tc>
        <w:tc>
          <w:tcPr>
            <w:tcW w:w="12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c>
          <w:tcPr>
            <w:tcW w:w="11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合计</w:t>
            </w:r>
          </w:p>
        </w:tc>
        <w:tc>
          <w:tcPr>
            <w:tcW w:w="713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数量：       盆，租金/年：      元。</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2" w:firstLineChars="200"/>
        <w:textAlignment w:val="auto"/>
        <w:rPr>
          <w:rFonts w:hint="eastAsia" w:ascii="楷体_GB2312" w:hAnsi="楷体_GB2312" w:eastAsia="楷体_GB2312" w:cs="楷体_GB2312"/>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2" w:firstLineChars="200"/>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三、商务要求</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1、交货日期：确定承租方协议签订后3天内交货；</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2、交货地点:  广元市第一人民医院；</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3、付款方法和条件：供应商将绿植送到达现场，布置完好，采购方按季度支付租金，每季度末，采购方应向供应商支付上季度的绿植租金。 </w:t>
      </w:r>
    </w:p>
    <w:p>
      <w:pPr>
        <w:spacing w:line="360" w:lineRule="auto"/>
        <w:ind w:firstLine="482" w:firstLineChars="200"/>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四、验收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采购方和供应商双方现场清点实际摆放绿植总数。</w:t>
      </w:r>
    </w:p>
    <w:p>
      <w:pPr>
        <w:spacing w:line="360" w:lineRule="auto"/>
        <w:ind w:firstLine="482" w:firstLineChars="200"/>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五、其他部分</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供应商按照谈判文件要求提供做出的应答和承诺相关证明材料。</w:t>
      </w:r>
    </w:p>
    <w:bookmarkEnd w:id="0"/>
    <w:bookmarkEnd w:id="1"/>
    <w:bookmarkEnd w:id="2"/>
    <w:p>
      <w:pPr>
        <w:spacing w:line="360" w:lineRule="auto"/>
        <w:jc w:val="center"/>
        <w:rPr>
          <w:rFonts w:ascii="宋体" w:hAnsi="宋体"/>
          <w:b/>
          <w:sz w:val="24"/>
          <w:szCs w:val="24"/>
        </w:rPr>
      </w:pPr>
    </w:p>
    <w:p>
      <w:pPr>
        <w:spacing w:line="360" w:lineRule="auto"/>
        <w:jc w:val="center"/>
        <w:rPr>
          <w:rFonts w:hint="eastAsia" w:ascii="黑体" w:hAnsi="黑体" w:eastAsia="黑体" w:cs="黑体"/>
          <w:b w:val="0"/>
          <w:bCs/>
          <w:sz w:val="32"/>
          <w:szCs w:val="32"/>
        </w:rPr>
      </w:pPr>
      <w:r>
        <w:rPr>
          <w:rFonts w:hint="eastAsia" w:ascii="黑体" w:hAnsi="黑体" w:eastAsia="黑体" w:cs="黑体"/>
          <w:b w:val="0"/>
          <w:bCs/>
          <w:sz w:val="32"/>
          <w:szCs w:val="32"/>
        </w:rPr>
        <w:t>第三章 谈判程序、谈判内容和成交标准</w:t>
      </w:r>
    </w:p>
    <w:p>
      <w:pPr>
        <w:spacing w:line="360" w:lineRule="auto"/>
        <w:jc w:val="center"/>
        <w:rPr>
          <w:rFonts w:ascii="宋体" w:hAnsi="宋体"/>
          <w:b/>
          <w:sz w:val="24"/>
          <w:szCs w:val="24"/>
        </w:rPr>
      </w:pPr>
    </w:p>
    <w:p>
      <w:pPr>
        <w:spacing w:line="360" w:lineRule="auto"/>
        <w:ind w:firstLine="482" w:firstLineChars="200"/>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一、资格审查</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 供应商递交响应文件截止时间结束后，采购人依据相关管理规定成立并组织谈判小组对递交响应文件报价的供应商进行资格审查，确定邀请参加谈判的报价供应商名单。</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2、通过资格审查的报价供应商不足三家的，本次竞争性谈判采购活动终止。</w:t>
      </w:r>
    </w:p>
    <w:p>
      <w:pPr>
        <w:spacing w:line="360" w:lineRule="auto"/>
        <w:ind w:firstLine="482" w:firstLineChars="200"/>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二、 谈 判</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1、报价供应商资格审查结束后，采购人组织谈判小组按照谈判文件的规定与通过资格审查的报价供应商分别进行谈判，本次采购项目设1轮谈判。</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2、谈判达到报价供应商响应文件符合采购需求、质量和服务相等的前提下，谈判小组应要求供应商进行最后报价。</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3、报价供应商进行二次报价，填写二次报价单，递交谈判小组。</w:t>
      </w:r>
    </w:p>
    <w:p>
      <w:pPr>
        <w:spacing w:line="360" w:lineRule="auto"/>
        <w:ind w:firstLine="482" w:firstLineChars="200"/>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三、确定成交供应商</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1、本项目由谈判小组直接确定成交供应商。</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2、由谈判小组按照公平、公正、择优的原则，采用最低评标价法进行评定。</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谈判小组根据“符合采购需求，质量和服务相等且报价最低的原则”，现场依法确定成交供应商（有需要改变采购要求的以提出第二次报价最低的供应商作为成交供应商），报价相同的,采取抽签方式决定排名，并确定排名第一的谈判方为第一成交候选供应商；当排名第一的供应商不能履约时，采购单位可以选择由排名第二的候选供应商作为成交供应商，以此类推，如排名前三名的供应商均不能履约时，本次谈判无效，采购人可重新组织谈判。</w:t>
      </w:r>
    </w:p>
    <w:p>
      <w:pPr>
        <w:spacing w:line="360" w:lineRule="auto"/>
        <w:jc w:val="center"/>
        <w:rPr>
          <w:rFonts w:hint="eastAsia" w:ascii="黑体" w:hAnsi="黑体" w:eastAsia="黑体" w:cs="黑体"/>
          <w:b w:val="0"/>
          <w:bCs/>
          <w:sz w:val="32"/>
          <w:szCs w:val="32"/>
        </w:rPr>
      </w:pPr>
      <w:r>
        <w:rPr>
          <w:rFonts w:hint="eastAsia" w:ascii="黑体" w:hAnsi="黑体" w:eastAsia="黑体" w:cs="黑体"/>
          <w:b w:val="0"/>
          <w:bCs/>
          <w:sz w:val="32"/>
          <w:szCs w:val="32"/>
        </w:rPr>
        <w:t>第四章    报价人应当提供的资格、</w:t>
      </w:r>
    </w:p>
    <w:p>
      <w:pPr>
        <w:spacing w:line="360" w:lineRule="auto"/>
        <w:jc w:val="center"/>
        <w:rPr>
          <w:rFonts w:hint="eastAsia" w:ascii="黑体" w:hAnsi="黑体" w:eastAsia="黑体" w:cs="黑体"/>
          <w:b w:val="0"/>
          <w:bCs/>
          <w:sz w:val="32"/>
          <w:szCs w:val="32"/>
        </w:rPr>
      </w:pPr>
      <w:r>
        <w:rPr>
          <w:rFonts w:hint="eastAsia" w:ascii="黑体" w:hAnsi="黑体" w:eastAsia="黑体" w:cs="黑体"/>
          <w:b w:val="0"/>
          <w:bCs/>
          <w:sz w:val="32"/>
          <w:szCs w:val="32"/>
        </w:rPr>
        <w:t>资质性及其他类似效力要求的相关证明材料</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1、有效的企业法人营业执照（副本）及复印件；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2、法定代表人授权书（格式自拟），并附法定代表人及授权代表身份证复印件；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3、在本次谈判日起三年内没有重大违法违规记录的承诺函；（原件，格式自拟）；</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4、以上要求报价人提供的资格证明文件复印件的必须加盖报价人印章（鲜章）。</w:t>
      </w:r>
    </w:p>
    <w:p>
      <w:pPr>
        <w:spacing w:line="360" w:lineRule="auto"/>
        <w:ind w:firstLine="480" w:firstLineChars="200"/>
        <w:rPr>
          <w:rFonts w:ascii="宋体" w:hAnsi="宋体"/>
          <w:color w:val="000000"/>
          <w:sz w:val="24"/>
          <w:szCs w:val="24"/>
        </w:rPr>
      </w:pPr>
    </w:p>
    <w:p>
      <w:pPr>
        <w:spacing w:line="360" w:lineRule="auto"/>
        <w:ind w:firstLine="480" w:firstLineChars="200"/>
        <w:rPr>
          <w:rFonts w:ascii="宋体" w:hAnsi="宋体"/>
          <w:color w:val="000000"/>
          <w:sz w:val="24"/>
          <w:szCs w:val="24"/>
        </w:rPr>
      </w:pPr>
    </w:p>
    <w:p>
      <w:pPr>
        <w:spacing w:line="360" w:lineRule="auto"/>
        <w:ind w:firstLine="480" w:firstLineChars="200"/>
        <w:rPr>
          <w:rFonts w:ascii="宋体" w:hAnsi="宋体"/>
          <w:color w:val="000000"/>
          <w:sz w:val="24"/>
          <w:szCs w:val="24"/>
        </w:rPr>
      </w:pPr>
    </w:p>
    <w:p>
      <w:pPr>
        <w:spacing w:line="360" w:lineRule="auto"/>
        <w:jc w:val="center"/>
        <w:rPr>
          <w:rFonts w:hint="eastAsia" w:ascii="楷体_GB2312" w:hAnsi="楷体_GB2312" w:eastAsia="楷体_GB2312" w:cs="楷体_GB2312"/>
          <w:b w:val="0"/>
          <w:bCs/>
          <w:sz w:val="32"/>
          <w:szCs w:val="32"/>
          <w:lang w:val="en-US" w:eastAsia="zh-CN"/>
        </w:rPr>
      </w:pPr>
      <w:bookmarkStart w:id="3" w:name="_Toc217446086"/>
      <w:r>
        <w:rPr>
          <w:rFonts w:hint="eastAsia" w:ascii="楷体_GB2312" w:hAnsi="楷体_GB2312" w:eastAsia="楷体_GB2312" w:cs="楷体_GB2312"/>
          <w:b w:val="0"/>
          <w:bCs/>
          <w:sz w:val="32"/>
          <w:szCs w:val="32"/>
          <w:lang w:val="en-US" w:eastAsia="zh-CN"/>
        </w:rPr>
        <w:t>一、报 价 函</w:t>
      </w:r>
    </w:p>
    <w:p>
      <w:pPr>
        <w:keepNext w:val="0"/>
        <w:keepLines w:val="0"/>
        <w:pageBreakBefore w:val="0"/>
        <w:widowControl w:val="0"/>
        <w:kinsoku/>
        <w:wordWrap/>
        <w:overflowPunct/>
        <w:topLinePunct w:val="0"/>
        <w:autoSpaceDE w:val="0"/>
        <w:autoSpaceDN w:val="0"/>
        <w:bidi w:val="0"/>
        <w:adjustRightInd w:val="0"/>
        <w:snapToGrid/>
        <w:spacing w:line="576" w:lineRule="exact"/>
        <w:ind w:right="0" w:right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广元市第一人民医院：</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u w:val="single"/>
          <w:lang w:val="en-US" w:eastAsia="zh-CN"/>
        </w:rPr>
      </w:pPr>
      <w:r>
        <w:rPr>
          <w:rFonts w:hint="eastAsia" w:ascii="仿宋_GB2312" w:hAnsi="仿宋_GB2312" w:eastAsia="仿宋_GB2312" w:cs="仿宋_GB2312"/>
          <w:kern w:val="0"/>
          <w:sz w:val="32"/>
          <w:szCs w:val="32"/>
          <w:lang w:val="en-US" w:eastAsia="zh-CN"/>
        </w:rPr>
        <w:t>我方全面研究了“广元市XXXXXXXX”项目谈判文件（谈判编号  ），决定参加贵单位组织的本项目谈判采购。我方授权</w:t>
      </w:r>
      <w:r>
        <w:rPr>
          <w:rFonts w:hint="eastAsia" w:ascii="仿宋_GB2312" w:hAnsi="仿宋_GB2312" w:eastAsia="仿宋_GB2312" w:cs="仿宋_GB2312"/>
          <w:kern w:val="0"/>
          <w:sz w:val="32"/>
          <w:szCs w:val="32"/>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576" w:lineRule="exact"/>
        <w:ind w:right="0" w:right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（姓名、职务）代表我方</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（参加谈判单位的名称）全权处理本项目谈判采购的有关事宜。</w:t>
      </w:r>
    </w:p>
    <w:p>
      <w:pPr>
        <w:keepNext w:val="0"/>
        <w:keepLines w:val="0"/>
        <w:pageBreakBefore w:val="0"/>
        <w:widowControl w:val="0"/>
        <w:numPr>
          <w:ilvl w:val="0"/>
          <w:numId w:val="2"/>
        </w:numPr>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我方自愿按照招谈判文件规定的各项要求向采购人提供所需货物，总报价为人民币</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万元（大写：</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2、一旦我方成交，我方将严格履行合同规定的责任和义务，保证于合同签字生效后</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日内完成项目的摆放并交付采购人验收、使用。</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3、本次提供产品质保时间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 xml:space="preserve"> （有其他优质服务可以另行增加）</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3、我方为本项目提交的响应文件正本1份，副本1份。</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4、我方愿意提供贵院可能另外要求的，与本次谈判采购有关的文件资料，并保证我方已提供和将要提供的文件资料是真实、准确的。</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报价供应商名称：        （盖章）</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法定代表人或授权代表（签字或盖章）：</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  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p>
    <w:bookmarkEnd w:id="3"/>
    <w:p>
      <w:pPr>
        <w:spacing w:line="360" w:lineRule="auto"/>
        <w:jc w:val="center"/>
        <w:rPr>
          <w:rFonts w:hint="eastAsia" w:ascii="宋体" w:hAnsi="宋体"/>
          <w:b/>
          <w:sz w:val="32"/>
          <w:szCs w:val="32"/>
        </w:rPr>
      </w:pPr>
      <w:bookmarkStart w:id="4" w:name="_Toc217446087"/>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ind w:firstLine="482" w:firstLineChars="200"/>
        <w:jc w:val="center"/>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二、商务应答表</w:t>
      </w:r>
      <w:bookmarkEnd w:id="4"/>
    </w:p>
    <w:p>
      <w:pPr>
        <w:spacing w:line="360" w:lineRule="auto"/>
        <w:rPr>
          <w:rFonts w:ascii="宋体" w:hAnsi="宋体"/>
          <w:sz w:val="24"/>
          <w:szCs w:val="24"/>
        </w:rPr>
      </w:pPr>
      <w:r>
        <w:rPr>
          <w:rFonts w:hint="eastAsia" w:ascii="宋体" w:hAnsi="宋体"/>
          <w:sz w:val="24"/>
          <w:szCs w:val="24"/>
        </w:rPr>
        <w:t xml:space="preserve">                                            </w:t>
      </w:r>
    </w:p>
    <w:tbl>
      <w:tblPr>
        <w:tblStyle w:val="10"/>
        <w:tblW w:w="8100"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4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1134" w:type="dxa"/>
            <w:vAlign w:val="center"/>
          </w:tcPr>
          <w:p>
            <w:pPr>
              <w:spacing w:line="360" w:lineRule="auto"/>
              <w:jc w:val="center"/>
              <w:rPr>
                <w:rFonts w:ascii="宋体" w:hAnsi="宋体"/>
                <w:sz w:val="24"/>
                <w:szCs w:val="24"/>
              </w:rPr>
            </w:pPr>
            <w:r>
              <w:rPr>
                <w:rFonts w:hint="eastAsia" w:ascii="宋体" w:hAnsi="宋体"/>
                <w:sz w:val="24"/>
                <w:szCs w:val="24"/>
              </w:rPr>
              <w:t>序号</w:t>
            </w:r>
          </w:p>
        </w:tc>
        <w:tc>
          <w:tcPr>
            <w:tcW w:w="2268" w:type="dxa"/>
            <w:vAlign w:val="center"/>
          </w:tcPr>
          <w:p>
            <w:pPr>
              <w:spacing w:line="360" w:lineRule="auto"/>
              <w:jc w:val="center"/>
              <w:rPr>
                <w:rFonts w:ascii="宋体" w:hAnsi="宋体"/>
                <w:sz w:val="24"/>
                <w:szCs w:val="24"/>
              </w:rPr>
            </w:pPr>
            <w:r>
              <w:rPr>
                <w:rFonts w:hint="eastAsia" w:ascii="宋体" w:hAnsi="宋体"/>
                <w:sz w:val="24"/>
                <w:szCs w:val="24"/>
              </w:rPr>
              <w:t>谈判文件要求</w:t>
            </w:r>
          </w:p>
        </w:tc>
        <w:tc>
          <w:tcPr>
            <w:tcW w:w="4698" w:type="dxa"/>
            <w:vAlign w:val="center"/>
          </w:tcPr>
          <w:p>
            <w:pPr>
              <w:spacing w:line="360" w:lineRule="auto"/>
              <w:jc w:val="center"/>
              <w:rPr>
                <w:rFonts w:ascii="宋体" w:hAnsi="宋体"/>
                <w:sz w:val="24"/>
                <w:szCs w:val="24"/>
              </w:rPr>
            </w:pPr>
            <w:r>
              <w:rPr>
                <w:rFonts w:hint="eastAsia" w:ascii="宋体" w:hAnsi="宋体"/>
                <w:sz w:val="24"/>
                <w:szCs w:val="24"/>
              </w:rPr>
              <w:t>响应应答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tcPr>
          <w:p>
            <w:pPr>
              <w:spacing w:line="360" w:lineRule="auto"/>
              <w:jc w:val="center"/>
              <w:rPr>
                <w:rFonts w:ascii="宋体" w:hAnsi="宋体"/>
                <w:sz w:val="24"/>
                <w:szCs w:val="24"/>
              </w:rPr>
            </w:pPr>
          </w:p>
        </w:tc>
        <w:tc>
          <w:tcPr>
            <w:tcW w:w="2268" w:type="dxa"/>
          </w:tcPr>
          <w:p>
            <w:pPr>
              <w:spacing w:line="360" w:lineRule="auto"/>
              <w:jc w:val="center"/>
              <w:rPr>
                <w:rFonts w:ascii="宋体" w:hAnsi="宋体"/>
                <w:sz w:val="24"/>
                <w:szCs w:val="24"/>
              </w:rPr>
            </w:pPr>
          </w:p>
        </w:tc>
        <w:tc>
          <w:tcPr>
            <w:tcW w:w="4698" w:type="dxa"/>
          </w:tcPr>
          <w:p>
            <w:pPr>
              <w:spacing w:line="360" w:lineRule="auto"/>
              <w:ind w:left="317" w:hanging="316" w:hangingChars="13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tcPr>
          <w:p>
            <w:pPr>
              <w:spacing w:line="360" w:lineRule="auto"/>
              <w:jc w:val="center"/>
              <w:rPr>
                <w:rFonts w:ascii="宋体" w:hAnsi="宋体"/>
                <w:sz w:val="24"/>
                <w:szCs w:val="24"/>
              </w:rPr>
            </w:pPr>
          </w:p>
        </w:tc>
        <w:tc>
          <w:tcPr>
            <w:tcW w:w="2268" w:type="dxa"/>
          </w:tcPr>
          <w:p>
            <w:pPr>
              <w:spacing w:line="360" w:lineRule="auto"/>
              <w:jc w:val="center"/>
              <w:rPr>
                <w:rFonts w:ascii="宋体" w:hAnsi="宋体"/>
                <w:sz w:val="24"/>
                <w:szCs w:val="24"/>
              </w:rPr>
            </w:pPr>
          </w:p>
        </w:tc>
        <w:tc>
          <w:tcPr>
            <w:tcW w:w="4698" w:type="dxa"/>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tcPr>
          <w:p>
            <w:pPr>
              <w:spacing w:line="360" w:lineRule="auto"/>
              <w:jc w:val="center"/>
              <w:rPr>
                <w:rFonts w:ascii="宋体" w:hAnsi="宋体"/>
                <w:sz w:val="24"/>
                <w:szCs w:val="24"/>
              </w:rPr>
            </w:pPr>
          </w:p>
          <w:p>
            <w:pPr>
              <w:spacing w:line="360" w:lineRule="auto"/>
              <w:jc w:val="center"/>
              <w:rPr>
                <w:rFonts w:ascii="宋体" w:hAnsi="宋体"/>
                <w:sz w:val="24"/>
                <w:szCs w:val="24"/>
              </w:rPr>
            </w:pPr>
          </w:p>
        </w:tc>
        <w:tc>
          <w:tcPr>
            <w:tcW w:w="2268" w:type="dxa"/>
          </w:tcPr>
          <w:p>
            <w:pPr>
              <w:spacing w:line="360" w:lineRule="auto"/>
              <w:jc w:val="center"/>
              <w:rPr>
                <w:rFonts w:ascii="宋体" w:hAnsi="宋体"/>
                <w:sz w:val="24"/>
                <w:szCs w:val="24"/>
              </w:rPr>
            </w:pPr>
          </w:p>
        </w:tc>
        <w:tc>
          <w:tcPr>
            <w:tcW w:w="4698" w:type="dxa"/>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tcPr>
          <w:p>
            <w:pPr>
              <w:spacing w:line="360" w:lineRule="auto"/>
              <w:jc w:val="center"/>
              <w:rPr>
                <w:rFonts w:ascii="宋体" w:hAnsi="宋体"/>
                <w:sz w:val="24"/>
                <w:szCs w:val="24"/>
              </w:rPr>
            </w:pPr>
          </w:p>
        </w:tc>
        <w:tc>
          <w:tcPr>
            <w:tcW w:w="2268" w:type="dxa"/>
          </w:tcPr>
          <w:p>
            <w:pPr>
              <w:spacing w:line="360" w:lineRule="auto"/>
              <w:jc w:val="center"/>
              <w:rPr>
                <w:rFonts w:ascii="宋体" w:hAnsi="宋体"/>
                <w:sz w:val="24"/>
                <w:szCs w:val="24"/>
              </w:rPr>
            </w:pPr>
          </w:p>
        </w:tc>
        <w:tc>
          <w:tcPr>
            <w:tcW w:w="4698" w:type="dxa"/>
          </w:tcPr>
          <w:p>
            <w:pPr>
              <w:spacing w:line="360" w:lineRule="auto"/>
              <w:jc w:val="center"/>
              <w:rPr>
                <w:rFonts w:ascii="宋体" w:hAnsi="宋体"/>
                <w:sz w:val="24"/>
                <w:szCs w:val="24"/>
              </w:rPr>
            </w:pPr>
          </w:p>
        </w:tc>
      </w:tr>
    </w:tbl>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注：供应商根据谈判文件第四章中的商务要求和其他要求内容据实填写，不得虚假应答，否则将取消其谈判或成交资格。</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报价供应商名称：      （盖章）</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法定代表人或授权代表（签字或盖章）：</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报价日期: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p>
    <w:p>
      <w:pPr>
        <w:spacing w:line="360" w:lineRule="auto"/>
        <w:jc w:val="center"/>
        <w:rPr>
          <w:rFonts w:ascii="宋体" w:hAnsi="宋体"/>
          <w:b/>
          <w:sz w:val="24"/>
          <w:szCs w:val="24"/>
        </w:rPr>
      </w:pPr>
      <w:bookmarkStart w:id="5" w:name="_Toc217446088"/>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ind w:firstLine="482" w:firstLineChars="200"/>
        <w:jc w:val="center"/>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三、报价供应商基本情况表</w:t>
      </w:r>
      <w:bookmarkEnd w:id="5"/>
    </w:p>
    <w:tbl>
      <w:tblPr>
        <w:tblStyle w:val="10"/>
        <w:tblpPr w:leftFromText="180" w:rightFromText="180" w:vertAnchor="text" w:horzAnchor="page" w:tblpX="1742" w:tblpY="233"/>
        <w:tblOverlap w:val="never"/>
        <w:tblW w:w="8639"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136"/>
        <w:gridCol w:w="456"/>
        <w:gridCol w:w="1362"/>
        <w:gridCol w:w="1099"/>
        <w:gridCol w:w="7"/>
        <w:gridCol w:w="1325"/>
        <w:gridCol w:w="404"/>
        <w:gridCol w:w="774"/>
        <w:gridCol w:w="1076"/>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报价供应商名称</w:t>
            </w:r>
          </w:p>
        </w:tc>
        <w:tc>
          <w:tcPr>
            <w:tcW w:w="6503" w:type="dxa"/>
            <w:gridSpan w:val="8"/>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注册地址</w:t>
            </w:r>
          </w:p>
        </w:tc>
        <w:tc>
          <w:tcPr>
            <w:tcW w:w="2924" w:type="dxa"/>
            <w:gridSpan w:val="4"/>
            <w:vAlign w:val="center"/>
          </w:tcPr>
          <w:p>
            <w:pPr>
              <w:autoSpaceDE w:val="0"/>
              <w:autoSpaceDN w:val="0"/>
              <w:adjustRightInd w:val="0"/>
              <w:spacing w:line="360" w:lineRule="auto"/>
              <w:jc w:val="center"/>
              <w:rPr>
                <w:rFonts w:ascii="宋体" w:hAnsi="宋体"/>
                <w:kern w:val="0"/>
                <w:sz w:val="24"/>
                <w:szCs w:val="24"/>
              </w:rPr>
            </w:pPr>
          </w:p>
        </w:tc>
        <w:tc>
          <w:tcPr>
            <w:tcW w:w="1325"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邮政编码</w:t>
            </w:r>
          </w:p>
        </w:tc>
        <w:tc>
          <w:tcPr>
            <w:tcW w:w="2254" w:type="dxa"/>
            <w:gridSpan w:val="3"/>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Merge w:val="restart"/>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联系方式</w:t>
            </w: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联系人</w:t>
            </w:r>
          </w:p>
        </w:tc>
        <w:tc>
          <w:tcPr>
            <w:tcW w:w="2461" w:type="dxa"/>
            <w:gridSpan w:val="2"/>
            <w:vAlign w:val="center"/>
          </w:tcPr>
          <w:p>
            <w:pPr>
              <w:autoSpaceDE w:val="0"/>
              <w:autoSpaceDN w:val="0"/>
              <w:adjustRightInd w:val="0"/>
              <w:spacing w:line="360" w:lineRule="auto"/>
              <w:jc w:val="center"/>
              <w:rPr>
                <w:rFonts w:ascii="宋体" w:hAnsi="宋体"/>
                <w:kern w:val="0"/>
                <w:sz w:val="24"/>
                <w:szCs w:val="24"/>
              </w:rPr>
            </w:pP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电话</w:t>
            </w:r>
          </w:p>
        </w:tc>
        <w:tc>
          <w:tcPr>
            <w:tcW w:w="2254" w:type="dxa"/>
            <w:gridSpan w:val="3"/>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8" w:hRule="atLeast"/>
        </w:trPr>
        <w:tc>
          <w:tcPr>
            <w:tcW w:w="2136"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传真</w:t>
            </w:r>
          </w:p>
        </w:tc>
        <w:tc>
          <w:tcPr>
            <w:tcW w:w="2461" w:type="dxa"/>
            <w:gridSpan w:val="2"/>
            <w:vAlign w:val="center"/>
          </w:tcPr>
          <w:p>
            <w:pPr>
              <w:autoSpaceDE w:val="0"/>
              <w:autoSpaceDN w:val="0"/>
              <w:adjustRightInd w:val="0"/>
              <w:spacing w:line="360" w:lineRule="auto"/>
              <w:jc w:val="center"/>
              <w:rPr>
                <w:rFonts w:ascii="宋体" w:hAnsi="宋体"/>
                <w:kern w:val="0"/>
                <w:sz w:val="24"/>
                <w:szCs w:val="24"/>
              </w:rPr>
            </w:pP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网址</w:t>
            </w:r>
          </w:p>
        </w:tc>
        <w:tc>
          <w:tcPr>
            <w:tcW w:w="2254" w:type="dxa"/>
            <w:gridSpan w:val="3"/>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组织结构</w:t>
            </w:r>
          </w:p>
        </w:tc>
        <w:tc>
          <w:tcPr>
            <w:tcW w:w="6503" w:type="dxa"/>
            <w:gridSpan w:val="8"/>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法定代表人</w:t>
            </w: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姓名</w:t>
            </w:r>
          </w:p>
        </w:tc>
        <w:tc>
          <w:tcPr>
            <w:tcW w:w="1362" w:type="dxa"/>
            <w:vAlign w:val="center"/>
          </w:tcPr>
          <w:p>
            <w:pPr>
              <w:autoSpaceDE w:val="0"/>
              <w:autoSpaceDN w:val="0"/>
              <w:adjustRightInd w:val="0"/>
              <w:spacing w:line="360" w:lineRule="auto"/>
              <w:jc w:val="center"/>
              <w:rPr>
                <w:rFonts w:ascii="宋体" w:hAnsi="宋体"/>
                <w:kern w:val="0"/>
                <w:sz w:val="24"/>
                <w:szCs w:val="24"/>
              </w:rPr>
            </w:pPr>
          </w:p>
        </w:tc>
        <w:tc>
          <w:tcPr>
            <w:tcW w:w="1099"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技术职称</w:t>
            </w: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p>
        </w:tc>
        <w:tc>
          <w:tcPr>
            <w:tcW w:w="1178"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电话</w:t>
            </w:r>
          </w:p>
        </w:tc>
        <w:tc>
          <w:tcPr>
            <w:tcW w:w="1076" w:type="dxa"/>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技术负责人</w:t>
            </w: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姓名</w:t>
            </w:r>
          </w:p>
        </w:tc>
        <w:tc>
          <w:tcPr>
            <w:tcW w:w="1362" w:type="dxa"/>
            <w:vAlign w:val="center"/>
          </w:tcPr>
          <w:p>
            <w:pPr>
              <w:autoSpaceDE w:val="0"/>
              <w:autoSpaceDN w:val="0"/>
              <w:adjustRightInd w:val="0"/>
              <w:spacing w:line="360" w:lineRule="auto"/>
              <w:jc w:val="center"/>
              <w:rPr>
                <w:rFonts w:ascii="宋体" w:hAnsi="宋体"/>
                <w:kern w:val="0"/>
                <w:sz w:val="24"/>
                <w:szCs w:val="24"/>
              </w:rPr>
            </w:pPr>
          </w:p>
        </w:tc>
        <w:tc>
          <w:tcPr>
            <w:tcW w:w="1099"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技术职称</w:t>
            </w: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p>
        </w:tc>
        <w:tc>
          <w:tcPr>
            <w:tcW w:w="1178"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电话</w:t>
            </w:r>
          </w:p>
        </w:tc>
        <w:tc>
          <w:tcPr>
            <w:tcW w:w="1076" w:type="dxa"/>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成立时间</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4685" w:type="dxa"/>
            <w:gridSpan w:val="6"/>
            <w:vAlign w:val="center"/>
          </w:tcPr>
          <w:p>
            <w:pPr>
              <w:autoSpaceDE w:val="0"/>
              <w:autoSpaceDN w:val="0"/>
              <w:adjustRightInd w:val="0"/>
              <w:spacing w:line="360" w:lineRule="auto"/>
              <w:ind w:firstLine="1680" w:firstLineChars="700"/>
              <w:rPr>
                <w:rFonts w:ascii="宋体" w:hAnsi="宋体"/>
                <w:kern w:val="0"/>
                <w:sz w:val="24"/>
                <w:szCs w:val="24"/>
              </w:rPr>
            </w:pPr>
            <w:r>
              <w:rPr>
                <w:rFonts w:hint="eastAsia" w:ascii="宋体" w:hAnsi="宋体"/>
                <w:kern w:val="0"/>
                <w:sz w:val="24"/>
                <w:szCs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企业资质等级</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restart"/>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其中</w:t>
            </w: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项目经理</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营业执照号</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高级职称人员</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注册资金</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中级职称人员</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开户银行</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初级职称人员</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账号</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技工</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2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经营范围</w:t>
            </w:r>
          </w:p>
        </w:tc>
        <w:tc>
          <w:tcPr>
            <w:tcW w:w="6503" w:type="dxa"/>
            <w:gridSpan w:val="8"/>
            <w:vAlign w:val="center"/>
          </w:tcPr>
          <w:p>
            <w:pPr>
              <w:autoSpaceDE w:val="0"/>
              <w:autoSpaceDN w:val="0"/>
              <w:adjustRightInd w:val="0"/>
              <w:spacing w:line="360" w:lineRule="auto"/>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637" w:hRule="atLeast"/>
        </w:trPr>
        <w:tc>
          <w:tcPr>
            <w:tcW w:w="2136" w:type="dxa"/>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备注</w:t>
            </w:r>
          </w:p>
        </w:tc>
        <w:tc>
          <w:tcPr>
            <w:tcW w:w="6503" w:type="dxa"/>
            <w:gridSpan w:val="8"/>
          </w:tcPr>
          <w:p>
            <w:pPr>
              <w:autoSpaceDE w:val="0"/>
              <w:autoSpaceDN w:val="0"/>
              <w:adjustRightInd w:val="0"/>
              <w:spacing w:line="360" w:lineRule="auto"/>
              <w:jc w:val="left"/>
              <w:rPr>
                <w:rFonts w:ascii="宋体" w:hAnsi="宋体"/>
                <w:kern w:val="0"/>
                <w:sz w:val="24"/>
                <w:szCs w:val="24"/>
              </w:rPr>
            </w:pPr>
          </w:p>
        </w:tc>
      </w:tr>
    </w:tbl>
    <w:p>
      <w:pPr>
        <w:adjustRightInd w:val="0"/>
        <w:spacing w:line="360" w:lineRule="auto"/>
        <w:jc w:val="left"/>
        <w:rPr>
          <w:rFonts w:ascii="宋体" w:hAnsi="宋体"/>
          <w:bCs/>
          <w:sz w:val="24"/>
          <w:szCs w:val="24"/>
        </w:rPr>
      </w:pPr>
      <w:r>
        <w:rPr>
          <w:rFonts w:hint="eastAsia" w:ascii="宋体" w:hAnsi="宋体"/>
          <w:bCs/>
          <w:sz w:val="24"/>
          <w:szCs w:val="24"/>
        </w:rPr>
        <w:t xml:space="preserve">   </w:t>
      </w:r>
    </w:p>
    <w:p>
      <w:pPr>
        <w:adjustRightInd w:val="0"/>
        <w:spacing w:line="360" w:lineRule="auto"/>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报价供应商名称：        （盖章）</w:t>
      </w:r>
    </w:p>
    <w:p>
      <w:pPr>
        <w:adjustRightInd w:val="0"/>
        <w:spacing w:line="360" w:lineRule="auto"/>
        <w:jc w:val="left"/>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 xml:space="preserve">   法定代表人或授权代表（签字或盖章）</w:t>
      </w:r>
      <w:r>
        <w:rPr>
          <w:rFonts w:hint="eastAsia" w:ascii="仿宋_GB2312" w:hAnsi="仿宋_GB2312" w:eastAsia="仿宋_GB2312" w:cs="仿宋_GB2312"/>
          <w:bCs/>
          <w:sz w:val="32"/>
          <w:szCs w:val="32"/>
        </w:rPr>
        <w:t>：</w:t>
      </w:r>
    </w:p>
    <w:p>
      <w:pPr>
        <w:spacing w:line="360" w:lineRule="auto"/>
        <w:ind w:firstLine="360" w:firstLineChars="15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报价日期:</w:t>
      </w:r>
      <w:r>
        <w:rPr>
          <w:rFonts w:hint="eastAsia" w:ascii="仿宋_GB2312" w:hAnsi="仿宋_GB2312" w:eastAsia="仿宋_GB2312" w:cs="仿宋_GB2312"/>
          <w:sz w:val="32"/>
          <w:szCs w:val="32"/>
        </w:rPr>
        <w:t xml:space="preserve"> 年  月  日</w:t>
      </w:r>
    </w:p>
    <w:sectPr>
      <w:headerReference r:id="rId3" w:type="default"/>
      <w:footerReference r:id="rId4" w:type="default"/>
      <w:pgSz w:w="11906" w:h="16838"/>
      <w:pgMar w:top="1304" w:right="1304"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decorative"/>
    <w:pitch w:val="default"/>
    <w:sig w:usb0="00000003" w:usb1="288F0000" w:usb2="00000006" w:usb3="00000000" w:csb0="00040001" w:csb1="00000000"/>
  </w:font>
  <w:font w:name="Verdana">
    <w:panose1 w:val="020B0604030504040204"/>
    <w:charset w:val="00"/>
    <w:family w:val="roman"/>
    <w:pitch w:val="default"/>
    <w:sig w:usb0="A10006FF" w:usb1="4000205B" w:usb2="00000010" w:usb3="00000000" w:csb0="2000019F" w:csb1="00000000"/>
  </w:font>
  <w:font w:name="Verdana">
    <w:panose1 w:val="020B0604030504040204"/>
    <w:charset w:val="00"/>
    <w:family w:val="decorative"/>
    <w:pitch w:val="default"/>
    <w:sig w:usb0="A1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roman"/>
    <w:pitch w:val="default"/>
    <w:sig w:usb0="00000003" w:usb1="288F0000" w:usb2="00000006" w:usb3="00000000" w:csb0="00040001" w:csb1="00000000"/>
  </w:font>
  <w:font w:name="Verdana">
    <w:panose1 w:val="020B0604030504040204"/>
    <w:charset w:val="00"/>
    <w:family w:val="modern"/>
    <w:pitch w:val="default"/>
    <w:sig w:usb0="A10006FF" w:usb1="4000205B" w:usb2="00000010" w:usb3="00000000" w:csb0="2000019F" w:csb1="00000000"/>
  </w:font>
  <w:font w:name="仿宋_GB2312">
    <w:panose1 w:val="02010609030101010101"/>
    <w:charset w:val="86"/>
    <w:family w:val="decorative"/>
    <w:pitch w:val="default"/>
    <w:sig w:usb0="00000001" w:usb1="080E0000" w:usb2="00000000" w:usb3="00000000" w:csb0="00040000" w:csb1="00000000"/>
  </w:font>
  <w:font w:name="新宋体">
    <w:panose1 w:val="02010609030101010101"/>
    <w:charset w:val="86"/>
    <w:family w:val="swiss"/>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 w:name="Calibri Light">
    <w:altName w:val="Calibri"/>
    <w:panose1 w:val="020F0302020204030204"/>
    <w:charset w:val="00"/>
    <w:family w:val="auto"/>
    <w:pitch w:val="default"/>
    <w:sig w:usb0="00000000" w:usb1="00000000" w:usb2="00000000" w:usb3="00000000" w:csb0="2000019F" w:csb1="00000000"/>
  </w:font>
  <w:font w:name="仿宋_GB2312">
    <w:panose1 w:val="02010609030101010101"/>
    <w:charset w:val="86"/>
    <w:family w:val="roma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37173093">
    <w:nsid w:val="5B9F6665"/>
    <w:multiLevelType w:val="singleLevel"/>
    <w:tmpl w:val="5B9F6665"/>
    <w:lvl w:ilvl="0" w:tentative="1">
      <w:start w:val="1"/>
      <w:numFmt w:val="decimal"/>
      <w:suff w:val="nothing"/>
      <w:lvlText w:val="%1、"/>
      <w:lvlJc w:val="left"/>
    </w:lvl>
  </w:abstractNum>
  <w:abstractNum w:abstractNumId="3830897415">
    <w:nsid w:val="E456DB07"/>
    <w:multiLevelType w:val="singleLevel"/>
    <w:tmpl w:val="E456DB07"/>
    <w:lvl w:ilvl="0" w:tentative="1">
      <w:start w:val="1"/>
      <w:numFmt w:val="chineseCounting"/>
      <w:suff w:val="space"/>
      <w:lvlText w:val="第%1章"/>
      <w:lvlJc w:val="left"/>
      <w:rPr>
        <w:rFonts w:hint="eastAsia"/>
      </w:rPr>
    </w:lvl>
  </w:abstractNum>
  <w:num w:numId="1">
    <w:abstractNumId w:val="3830897415"/>
  </w:num>
  <w:num w:numId="2">
    <w:abstractNumId w:val="15371730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90A"/>
    <w:rsid w:val="00003A30"/>
    <w:rsid w:val="000224AA"/>
    <w:rsid w:val="00051DAA"/>
    <w:rsid w:val="000605A8"/>
    <w:rsid w:val="00070B57"/>
    <w:rsid w:val="00072BD1"/>
    <w:rsid w:val="000760F3"/>
    <w:rsid w:val="0009718A"/>
    <w:rsid w:val="000C10C0"/>
    <w:rsid w:val="000C4722"/>
    <w:rsid w:val="000E2292"/>
    <w:rsid w:val="000F2156"/>
    <w:rsid w:val="001064F1"/>
    <w:rsid w:val="00122D77"/>
    <w:rsid w:val="00132B9B"/>
    <w:rsid w:val="00183818"/>
    <w:rsid w:val="00184CD9"/>
    <w:rsid w:val="001B13B8"/>
    <w:rsid w:val="001D7371"/>
    <w:rsid w:val="00200FAA"/>
    <w:rsid w:val="00204DC5"/>
    <w:rsid w:val="002054AC"/>
    <w:rsid w:val="00216D94"/>
    <w:rsid w:val="00217E7B"/>
    <w:rsid w:val="00262E10"/>
    <w:rsid w:val="002841DE"/>
    <w:rsid w:val="002A1D3E"/>
    <w:rsid w:val="002B7562"/>
    <w:rsid w:val="002D34BB"/>
    <w:rsid w:val="002D7C8A"/>
    <w:rsid w:val="00331205"/>
    <w:rsid w:val="00342521"/>
    <w:rsid w:val="00370463"/>
    <w:rsid w:val="00374E8E"/>
    <w:rsid w:val="00392308"/>
    <w:rsid w:val="003A2ABA"/>
    <w:rsid w:val="003B3F31"/>
    <w:rsid w:val="003E4355"/>
    <w:rsid w:val="003E4AE0"/>
    <w:rsid w:val="004218D6"/>
    <w:rsid w:val="00447212"/>
    <w:rsid w:val="004B10D8"/>
    <w:rsid w:val="004B3E5A"/>
    <w:rsid w:val="004B5A41"/>
    <w:rsid w:val="004F718C"/>
    <w:rsid w:val="00532FBD"/>
    <w:rsid w:val="00573A4C"/>
    <w:rsid w:val="005C22EC"/>
    <w:rsid w:val="005D4F8C"/>
    <w:rsid w:val="00664DBC"/>
    <w:rsid w:val="00665110"/>
    <w:rsid w:val="00685C1F"/>
    <w:rsid w:val="006D3055"/>
    <w:rsid w:val="006F0B10"/>
    <w:rsid w:val="006F163D"/>
    <w:rsid w:val="007114D4"/>
    <w:rsid w:val="00755A91"/>
    <w:rsid w:val="00764F6B"/>
    <w:rsid w:val="007C2526"/>
    <w:rsid w:val="007C6027"/>
    <w:rsid w:val="007D57D9"/>
    <w:rsid w:val="007E5F6A"/>
    <w:rsid w:val="00804F0B"/>
    <w:rsid w:val="0082386F"/>
    <w:rsid w:val="008617F2"/>
    <w:rsid w:val="00890BD8"/>
    <w:rsid w:val="00890CC8"/>
    <w:rsid w:val="00896B94"/>
    <w:rsid w:val="008A7202"/>
    <w:rsid w:val="008D0E14"/>
    <w:rsid w:val="008D56E5"/>
    <w:rsid w:val="008F1845"/>
    <w:rsid w:val="00947E02"/>
    <w:rsid w:val="0096015A"/>
    <w:rsid w:val="00983546"/>
    <w:rsid w:val="00995A3F"/>
    <w:rsid w:val="009A121D"/>
    <w:rsid w:val="009C67B0"/>
    <w:rsid w:val="009D1FF5"/>
    <w:rsid w:val="00A020D8"/>
    <w:rsid w:val="00A240FA"/>
    <w:rsid w:val="00A60079"/>
    <w:rsid w:val="00A61852"/>
    <w:rsid w:val="00A655D5"/>
    <w:rsid w:val="00A66893"/>
    <w:rsid w:val="00AE14C6"/>
    <w:rsid w:val="00B11CBE"/>
    <w:rsid w:val="00B47197"/>
    <w:rsid w:val="00B5590A"/>
    <w:rsid w:val="00B57739"/>
    <w:rsid w:val="00B6506F"/>
    <w:rsid w:val="00BE1D71"/>
    <w:rsid w:val="00C05557"/>
    <w:rsid w:val="00C72D9E"/>
    <w:rsid w:val="00C82A61"/>
    <w:rsid w:val="00C83D90"/>
    <w:rsid w:val="00C94236"/>
    <w:rsid w:val="00CB359D"/>
    <w:rsid w:val="00CE36DB"/>
    <w:rsid w:val="00CF3762"/>
    <w:rsid w:val="00D65712"/>
    <w:rsid w:val="00D8535C"/>
    <w:rsid w:val="00D9247A"/>
    <w:rsid w:val="00E16084"/>
    <w:rsid w:val="00E358E2"/>
    <w:rsid w:val="00E4024F"/>
    <w:rsid w:val="00E42CC5"/>
    <w:rsid w:val="00E45B58"/>
    <w:rsid w:val="00E57090"/>
    <w:rsid w:val="00E71587"/>
    <w:rsid w:val="00E74955"/>
    <w:rsid w:val="00E84B67"/>
    <w:rsid w:val="00EB2DF3"/>
    <w:rsid w:val="00EC039F"/>
    <w:rsid w:val="00ED2D67"/>
    <w:rsid w:val="00F7706E"/>
    <w:rsid w:val="00F97DBA"/>
    <w:rsid w:val="00FA0AF1"/>
    <w:rsid w:val="01572F42"/>
    <w:rsid w:val="03EF6F82"/>
    <w:rsid w:val="06935FCF"/>
    <w:rsid w:val="0CEE7D61"/>
    <w:rsid w:val="1A8E3E74"/>
    <w:rsid w:val="1BC81EE8"/>
    <w:rsid w:val="204E02B4"/>
    <w:rsid w:val="210443FC"/>
    <w:rsid w:val="211214E5"/>
    <w:rsid w:val="36177F3E"/>
    <w:rsid w:val="375708BF"/>
    <w:rsid w:val="39204FC7"/>
    <w:rsid w:val="4C456F97"/>
    <w:rsid w:val="4F1D574F"/>
    <w:rsid w:val="50470411"/>
    <w:rsid w:val="5208441A"/>
    <w:rsid w:val="5B5B5E8A"/>
    <w:rsid w:val="5E820192"/>
    <w:rsid w:val="5EA80A59"/>
    <w:rsid w:val="61553F85"/>
    <w:rsid w:val="65C1494D"/>
    <w:rsid w:val="65FE1F60"/>
    <w:rsid w:val="69A419AD"/>
    <w:rsid w:val="7C225F36"/>
    <w:rsid w:val="7C73382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7"/>
    <w:unhideWhenUsed/>
    <w:qFormat/>
    <w:uiPriority w:val="99"/>
    <w:pPr>
      <w:ind w:left="100" w:leftChars="2500"/>
    </w:pPr>
  </w:style>
  <w:style w:type="paragraph" w:styleId="3">
    <w:name w:val="Balloon Text"/>
    <w:basedOn w:val="1"/>
    <w:link w:val="18"/>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unhideWhenUsed/>
    <w:qFormat/>
    <w:uiPriority w:val="0"/>
    <w:pPr>
      <w:snapToGrid w:val="0"/>
      <w:jc w:val="left"/>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footnote reference"/>
    <w:basedOn w:val="8"/>
    <w:unhideWhenUsed/>
    <w:qFormat/>
    <w:uiPriority w:val="0"/>
    <w:rPr>
      <w:vertAlign w:val="superscript"/>
    </w:rPr>
  </w:style>
  <w:style w:type="table" w:styleId="11">
    <w:name w:val="Table Grid"/>
    <w:basedOn w:val="10"/>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2">
    <w:name w:val="列出段落1"/>
    <w:basedOn w:val="1"/>
    <w:qFormat/>
    <w:uiPriority w:val="34"/>
    <w:pPr>
      <w:ind w:firstLine="420" w:firstLineChars="200"/>
    </w:pPr>
  </w:style>
  <w:style w:type="paragraph" w:customStyle="1" w:styleId="13">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4">
    <w:name w:val="正文首行缩进两字符"/>
    <w:basedOn w:val="1"/>
    <w:qFormat/>
    <w:uiPriority w:val="0"/>
    <w:pPr>
      <w:spacing w:line="360" w:lineRule="auto"/>
      <w:ind w:firstLine="200" w:firstLineChars="200"/>
    </w:pPr>
    <w:rPr>
      <w:rFonts w:ascii="Times New Roman" w:hAnsi="Times New Roman"/>
      <w:szCs w:val="24"/>
    </w:rPr>
  </w:style>
  <w:style w:type="character" w:customStyle="1" w:styleId="15">
    <w:name w:val="页眉 Char"/>
    <w:basedOn w:val="8"/>
    <w:link w:val="5"/>
    <w:qFormat/>
    <w:uiPriority w:val="99"/>
    <w:rPr>
      <w:sz w:val="18"/>
      <w:szCs w:val="18"/>
    </w:rPr>
  </w:style>
  <w:style w:type="character" w:customStyle="1" w:styleId="16">
    <w:name w:val="页脚 Char"/>
    <w:basedOn w:val="8"/>
    <w:link w:val="4"/>
    <w:qFormat/>
    <w:uiPriority w:val="99"/>
    <w:rPr>
      <w:sz w:val="18"/>
      <w:szCs w:val="18"/>
    </w:rPr>
  </w:style>
  <w:style w:type="character" w:customStyle="1" w:styleId="17">
    <w:name w:val="日期 Char"/>
    <w:basedOn w:val="8"/>
    <w:link w:val="2"/>
    <w:semiHidden/>
    <w:qFormat/>
    <w:uiPriority w:val="99"/>
  </w:style>
  <w:style w:type="character" w:customStyle="1" w:styleId="18">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C37A33-C166-4F11-A6BB-2DB4CB04171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751</Words>
  <Characters>4281</Characters>
  <Lines>35</Lines>
  <Paragraphs>10</Paragraphs>
  <ScaleCrop>false</ScaleCrop>
  <LinksUpToDate>false</LinksUpToDate>
  <CharactersWithSpaces>5022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2018-09-03T07:48:00Z</dcterms:created>
  <dc:creator>User</dc:creator>
  <cp:lastModifiedBy>sysm72601</cp:lastModifiedBy>
  <cp:lastPrinted>2018-09-18T01:00:00Z</cp:lastPrinted>
  <dcterms:modified xsi:type="dcterms:W3CDTF">2018-09-18T09:08:24Z</dcterms:modified>
  <dc:title>项目编号：GYYXBCG-2018-002</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